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0CB3" w14:textId="586F9CAA" w:rsidR="00F43098" w:rsidRDefault="007E3E45">
      <w:pPr>
        <w:rPr>
          <w:rFonts w:cstheme="minorHAnsi"/>
          <w:b/>
        </w:rPr>
      </w:pPr>
      <w:r w:rsidRPr="0071518E">
        <w:rPr>
          <w:rFonts w:cstheme="minorHAnsi"/>
          <w:b/>
        </w:rPr>
        <w:t>Good Governance Awards 2024 Technical Assessment of the Financial Statements</w:t>
      </w:r>
    </w:p>
    <w:p w14:paraId="4CDA1B18" w14:textId="359A414B" w:rsidR="00E109C9" w:rsidRDefault="00E109C9">
      <w:pPr>
        <w:rPr>
          <w:rFonts w:cstheme="minorHAnsi"/>
          <w:b/>
        </w:rPr>
      </w:pPr>
      <w:r>
        <w:rPr>
          <w:rFonts w:cstheme="minorHAnsi"/>
          <w:b/>
        </w:rPr>
        <w:t>Introduction</w:t>
      </w:r>
    </w:p>
    <w:p w14:paraId="79C7A94B" w14:textId="56467E49" w:rsidR="00E109C9" w:rsidRPr="00E109C9" w:rsidRDefault="00E109C9" w:rsidP="00610F30">
      <w:pPr>
        <w:jc w:val="both"/>
        <w:rPr>
          <w:rFonts w:cstheme="minorHAnsi"/>
        </w:rPr>
      </w:pPr>
      <w:r w:rsidRPr="00E109C9">
        <w:rPr>
          <w:rFonts w:cstheme="minorHAnsi"/>
        </w:rPr>
        <w:t xml:space="preserve">The </w:t>
      </w:r>
      <w:r w:rsidR="00610F30">
        <w:rPr>
          <w:rFonts w:cstheme="minorHAnsi"/>
        </w:rPr>
        <w:t xml:space="preserve">Carmichael </w:t>
      </w:r>
      <w:r w:rsidRPr="00E109C9">
        <w:rPr>
          <w:rFonts w:cstheme="minorHAnsi"/>
        </w:rPr>
        <w:t>Good Governance Awards</w:t>
      </w:r>
      <w:r>
        <w:rPr>
          <w:rFonts w:cstheme="minorHAnsi"/>
        </w:rPr>
        <w:t xml:space="preserve"> consists of a three-staged process to identify the winners in each of the categories; a general assessment stage, a technical assessment of financial statements of those entries that have been longlisted in the general assessment and a judging stage of the shortlisted entries</w:t>
      </w:r>
      <w:r w:rsidR="00610F30">
        <w:rPr>
          <w:rFonts w:cstheme="minorHAnsi"/>
        </w:rPr>
        <w:t xml:space="preserve"> to select the category winners</w:t>
      </w:r>
      <w:r>
        <w:rPr>
          <w:rFonts w:cstheme="minorHAnsi"/>
        </w:rPr>
        <w:t>. The technical assessment is conducted by our panel of accounting firms who assess the compliance of the financial statements with relevant legal and accounting standard requirements. This information resource is a list of the compliance issues identified by our Technical Assessors in the 2024 Good Governance Awards.</w:t>
      </w:r>
    </w:p>
    <w:p w14:paraId="20E1CD18" w14:textId="48B6CA4C" w:rsidR="007E3E45" w:rsidRPr="0071518E" w:rsidRDefault="00B51B11" w:rsidP="099F2F4D">
      <w:pPr>
        <w:rPr>
          <w:b/>
          <w:bCs/>
        </w:rPr>
      </w:pPr>
      <w:r w:rsidRPr="099F2F4D">
        <w:rPr>
          <w:b/>
          <w:bCs/>
        </w:rPr>
        <w:t xml:space="preserve">Charities SORP: </w:t>
      </w:r>
      <w:r w:rsidR="007E3E45" w:rsidRPr="099F2F4D">
        <w:rPr>
          <w:b/>
          <w:bCs/>
        </w:rPr>
        <w:t>Compliance issues identified</w:t>
      </w:r>
      <w:r w:rsidRPr="099F2F4D">
        <w:rPr>
          <w:b/>
          <w:bCs/>
        </w:rPr>
        <w:t xml:space="preserve"> by the Technical Assessors of </w:t>
      </w:r>
      <w:r w:rsidR="797CD66E" w:rsidRPr="099F2F4D">
        <w:rPr>
          <w:b/>
          <w:bCs/>
        </w:rPr>
        <w:t>long</w:t>
      </w:r>
      <w:r w:rsidRPr="099F2F4D">
        <w:rPr>
          <w:b/>
          <w:bCs/>
        </w:rPr>
        <w:t>listed entries.</w:t>
      </w:r>
      <w:r w:rsidR="007E3E45" w:rsidRPr="099F2F4D">
        <w:rPr>
          <w:b/>
          <w:bCs/>
        </w:rPr>
        <w:t xml:space="preserve"> </w:t>
      </w:r>
    </w:p>
    <w:tbl>
      <w:tblPr>
        <w:tblStyle w:val="TableGrid"/>
        <w:tblW w:w="0" w:type="auto"/>
        <w:tblLook w:val="04A0" w:firstRow="1" w:lastRow="0" w:firstColumn="1" w:lastColumn="0" w:noHBand="0" w:noVBand="1"/>
      </w:tblPr>
      <w:tblGrid>
        <w:gridCol w:w="5858"/>
        <w:gridCol w:w="1635"/>
        <w:gridCol w:w="1523"/>
      </w:tblGrid>
      <w:tr w:rsidR="007E3E45" w:rsidRPr="0071518E" w14:paraId="237AE364" w14:textId="77777777" w:rsidTr="6E4BEBA0">
        <w:trPr>
          <w:tblHeader/>
        </w:trPr>
        <w:tc>
          <w:tcPr>
            <w:tcW w:w="5858" w:type="dxa"/>
            <w:shd w:val="clear" w:color="auto" w:fill="D9E2F3" w:themeFill="accent5" w:themeFillTint="33"/>
            <w:vAlign w:val="bottom"/>
          </w:tcPr>
          <w:p w14:paraId="653D1211" w14:textId="77777777" w:rsidR="007E3E45" w:rsidRPr="0071518E" w:rsidRDefault="007E3E45" w:rsidP="007E3E45">
            <w:pPr>
              <w:rPr>
                <w:rFonts w:cstheme="minorHAnsi"/>
                <w:b/>
                <w:bCs/>
                <w:color w:val="000000"/>
              </w:rPr>
            </w:pPr>
            <w:r w:rsidRPr="0071518E">
              <w:rPr>
                <w:rFonts w:cstheme="minorHAnsi"/>
                <w:b/>
                <w:bCs/>
                <w:color w:val="000000"/>
              </w:rPr>
              <w:t>Compliance issue</w:t>
            </w:r>
          </w:p>
        </w:tc>
        <w:tc>
          <w:tcPr>
            <w:tcW w:w="1635" w:type="dxa"/>
            <w:shd w:val="clear" w:color="auto" w:fill="D9E2F3" w:themeFill="accent5" w:themeFillTint="33"/>
            <w:vAlign w:val="bottom"/>
          </w:tcPr>
          <w:p w14:paraId="7B4CD974" w14:textId="77777777" w:rsidR="007E3E45" w:rsidRPr="0071518E" w:rsidRDefault="007E3E45" w:rsidP="00B51B11">
            <w:pPr>
              <w:rPr>
                <w:rFonts w:cstheme="minorHAnsi"/>
                <w:b/>
                <w:bCs/>
                <w:color w:val="000000"/>
              </w:rPr>
            </w:pPr>
            <w:r w:rsidRPr="0071518E">
              <w:rPr>
                <w:rFonts w:cstheme="minorHAnsi"/>
                <w:b/>
                <w:bCs/>
                <w:color w:val="000000"/>
              </w:rPr>
              <w:t>SORP section</w:t>
            </w:r>
          </w:p>
        </w:tc>
        <w:tc>
          <w:tcPr>
            <w:tcW w:w="1523" w:type="dxa"/>
            <w:shd w:val="clear" w:color="auto" w:fill="D9E2F3" w:themeFill="accent5" w:themeFillTint="33"/>
            <w:vAlign w:val="bottom"/>
          </w:tcPr>
          <w:p w14:paraId="7627B49D" w14:textId="77777777" w:rsidR="007E3E45" w:rsidRPr="0071518E" w:rsidRDefault="007E3E45" w:rsidP="00B51B11">
            <w:pPr>
              <w:rPr>
                <w:rFonts w:cstheme="minorHAnsi"/>
                <w:b/>
                <w:bCs/>
                <w:color w:val="000000"/>
              </w:rPr>
            </w:pPr>
            <w:r w:rsidRPr="0071518E">
              <w:rPr>
                <w:rFonts w:cstheme="minorHAnsi"/>
                <w:b/>
                <w:bCs/>
                <w:color w:val="000000"/>
              </w:rPr>
              <w:t>Requirement</w:t>
            </w:r>
          </w:p>
        </w:tc>
      </w:tr>
      <w:tr w:rsidR="007E3E45" w:rsidRPr="0071518E" w14:paraId="46BD0FB7" w14:textId="77777777" w:rsidTr="6E4BEBA0">
        <w:tc>
          <w:tcPr>
            <w:tcW w:w="5858" w:type="dxa"/>
            <w:vAlign w:val="bottom"/>
          </w:tcPr>
          <w:p w14:paraId="584397B7" w14:textId="01ABE2FB" w:rsidR="007E3E45" w:rsidRPr="0071518E" w:rsidRDefault="007E3E45" w:rsidP="1793FD8A">
            <w:pPr>
              <w:spacing w:after="120"/>
              <w:rPr>
                <w:color w:val="000000"/>
              </w:rPr>
            </w:pPr>
            <w:r w:rsidRPr="1793FD8A">
              <w:rPr>
                <w:color w:val="000000" w:themeColor="text1"/>
              </w:rPr>
              <w:t xml:space="preserve">The Annual Report does not identify funds which are materially in </w:t>
            </w:r>
            <w:r w:rsidR="27126C05" w:rsidRPr="1793FD8A">
              <w:rPr>
                <w:color w:val="000000" w:themeColor="text1"/>
              </w:rPr>
              <w:t>deficit or</w:t>
            </w:r>
            <w:r w:rsidRPr="1793FD8A">
              <w:rPr>
                <w:color w:val="000000" w:themeColor="text1"/>
              </w:rPr>
              <w:t xml:space="preserve"> explain the circumstances giving rise to the deficit and the steps being taken to eliminate this.</w:t>
            </w:r>
          </w:p>
        </w:tc>
        <w:tc>
          <w:tcPr>
            <w:tcW w:w="1635" w:type="dxa"/>
            <w:vAlign w:val="bottom"/>
          </w:tcPr>
          <w:p w14:paraId="57E9FE96" w14:textId="77777777" w:rsidR="007E3E45" w:rsidRPr="0071518E" w:rsidRDefault="007E3E45" w:rsidP="00B51B11">
            <w:pPr>
              <w:spacing w:after="120"/>
              <w:rPr>
                <w:rFonts w:cstheme="minorHAnsi"/>
                <w:color w:val="000000"/>
              </w:rPr>
            </w:pPr>
            <w:r w:rsidRPr="0071518E">
              <w:rPr>
                <w:rFonts w:cstheme="minorHAnsi"/>
                <w:color w:val="000000"/>
              </w:rPr>
              <w:t>1.24</w:t>
            </w:r>
          </w:p>
        </w:tc>
        <w:tc>
          <w:tcPr>
            <w:tcW w:w="1523" w:type="dxa"/>
            <w:vAlign w:val="bottom"/>
          </w:tcPr>
          <w:p w14:paraId="1A3F75B4"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59BF4589" w14:textId="77777777" w:rsidTr="6E4BEBA0">
        <w:tc>
          <w:tcPr>
            <w:tcW w:w="5858" w:type="dxa"/>
            <w:vAlign w:val="bottom"/>
          </w:tcPr>
          <w:p w14:paraId="35ABE734" w14:textId="77777777" w:rsidR="007E3E45" w:rsidRPr="0071518E" w:rsidRDefault="007E3E45" w:rsidP="007E3E45">
            <w:pPr>
              <w:spacing w:after="120"/>
              <w:rPr>
                <w:rFonts w:cstheme="minorHAnsi"/>
                <w:color w:val="000000"/>
              </w:rPr>
            </w:pPr>
            <w:r w:rsidRPr="0071518E">
              <w:rPr>
                <w:rFonts w:cstheme="minorHAnsi"/>
                <w:color w:val="000000"/>
              </w:rPr>
              <w:t xml:space="preserve">How the charity is (or its trustees are) constituted is not disclosed </w:t>
            </w:r>
          </w:p>
        </w:tc>
        <w:tc>
          <w:tcPr>
            <w:tcW w:w="1635" w:type="dxa"/>
            <w:vAlign w:val="bottom"/>
          </w:tcPr>
          <w:p w14:paraId="3033B5CF" w14:textId="77777777" w:rsidR="007E3E45" w:rsidRPr="0071518E" w:rsidRDefault="007E3E45" w:rsidP="00B51B11">
            <w:pPr>
              <w:spacing w:after="120"/>
              <w:rPr>
                <w:rFonts w:cstheme="minorHAnsi"/>
                <w:color w:val="000000"/>
              </w:rPr>
            </w:pPr>
            <w:r w:rsidRPr="0071518E">
              <w:rPr>
                <w:rFonts w:cstheme="minorHAnsi"/>
                <w:color w:val="000000"/>
              </w:rPr>
              <w:t>1.25</w:t>
            </w:r>
          </w:p>
        </w:tc>
        <w:tc>
          <w:tcPr>
            <w:tcW w:w="1523" w:type="dxa"/>
            <w:vAlign w:val="bottom"/>
          </w:tcPr>
          <w:p w14:paraId="28E9B696"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566E0BC8" w14:textId="77777777" w:rsidTr="6E4BEBA0">
        <w:tc>
          <w:tcPr>
            <w:tcW w:w="5858" w:type="dxa"/>
            <w:vAlign w:val="bottom"/>
          </w:tcPr>
          <w:p w14:paraId="49138060" w14:textId="5D91A3EA" w:rsidR="007E3E45" w:rsidRPr="0071518E" w:rsidRDefault="007E3E45" w:rsidP="1793FD8A">
            <w:pPr>
              <w:spacing w:after="120"/>
              <w:rPr>
                <w:color w:val="000000"/>
              </w:rPr>
            </w:pPr>
            <w:r w:rsidRPr="1793FD8A">
              <w:rPr>
                <w:color w:val="000000" w:themeColor="text1"/>
              </w:rPr>
              <w:t>While the organisation has trustee term limits in place, there i</w:t>
            </w:r>
            <w:r w:rsidR="00B81FD2">
              <w:rPr>
                <w:color w:val="000000" w:themeColor="text1"/>
              </w:rPr>
              <w:t>s no maximum tenure as recommended</w:t>
            </w:r>
            <w:r w:rsidRPr="1793FD8A">
              <w:rPr>
                <w:color w:val="000000" w:themeColor="text1"/>
              </w:rPr>
              <w:t xml:space="preserve"> </w:t>
            </w:r>
            <w:r w:rsidR="0CEF8C5A" w:rsidRPr="1793FD8A">
              <w:rPr>
                <w:color w:val="000000" w:themeColor="text1"/>
              </w:rPr>
              <w:t>by the</w:t>
            </w:r>
            <w:r w:rsidRPr="1793FD8A">
              <w:rPr>
                <w:color w:val="000000" w:themeColor="text1"/>
              </w:rPr>
              <w:t xml:space="preserve"> Charities Governance Code </w:t>
            </w:r>
          </w:p>
        </w:tc>
        <w:tc>
          <w:tcPr>
            <w:tcW w:w="1635" w:type="dxa"/>
            <w:vAlign w:val="bottom"/>
          </w:tcPr>
          <w:p w14:paraId="3270AABD" w14:textId="77777777" w:rsidR="007E3E45" w:rsidRPr="0071518E" w:rsidRDefault="007E3E45" w:rsidP="00B51B11">
            <w:pPr>
              <w:spacing w:after="120"/>
              <w:rPr>
                <w:rFonts w:cstheme="minorHAnsi"/>
                <w:color w:val="000000"/>
              </w:rPr>
            </w:pPr>
            <w:r w:rsidRPr="0071518E">
              <w:rPr>
                <w:rFonts w:cstheme="minorHAnsi"/>
                <w:color w:val="000000"/>
              </w:rPr>
              <w:t>1.25</w:t>
            </w:r>
          </w:p>
        </w:tc>
        <w:tc>
          <w:tcPr>
            <w:tcW w:w="1523" w:type="dxa"/>
            <w:vAlign w:val="bottom"/>
          </w:tcPr>
          <w:p w14:paraId="7B7AE3D5"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1BF22BD3" w14:textId="77777777" w:rsidTr="6E4BEBA0">
        <w:tc>
          <w:tcPr>
            <w:tcW w:w="5858" w:type="dxa"/>
            <w:vAlign w:val="bottom"/>
          </w:tcPr>
          <w:p w14:paraId="34438D9B" w14:textId="77777777" w:rsidR="007E3E45" w:rsidRPr="0071518E" w:rsidRDefault="007E3E45" w:rsidP="007E3E45">
            <w:pPr>
              <w:spacing w:after="120"/>
              <w:rPr>
                <w:rFonts w:cstheme="minorHAnsi"/>
                <w:color w:val="000000"/>
              </w:rPr>
            </w:pPr>
            <w:r w:rsidRPr="0071518E">
              <w:rPr>
                <w:rFonts w:cstheme="minorHAnsi"/>
                <w:color w:val="000000"/>
              </w:rPr>
              <w:t>No reference made to any related or connected party</w:t>
            </w:r>
          </w:p>
        </w:tc>
        <w:tc>
          <w:tcPr>
            <w:tcW w:w="1635" w:type="dxa"/>
            <w:vAlign w:val="bottom"/>
          </w:tcPr>
          <w:p w14:paraId="290DFFEE" w14:textId="77777777" w:rsidR="007E3E45" w:rsidRPr="0071518E" w:rsidRDefault="007E3E45" w:rsidP="00B51B11">
            <w:pPr>
              <w:spacing w:after="120"/>
              <w:rPr>
                <w:rFonts w:cstheme="minorHAnsi"/>
                <w:color w:val="000000"/>
              </w:rPr>
            </w:pPr>
            <w:r w:rsidRPr="0071518E">
              <w:rPr>
                <w:rFonts w:cstheme="minorHAnsi"/>
                <w:color w:val="000000"/>
              </w:rPr>
              <w:t>1.25, 1.51</w:t>
            </w:r>
          </w:p>
        </w:tc>
        <w:tc>
          <w:tcPr>
            <w:tcW w:w="1523" w:type="dxa"/>
            <w:vAlign w:val="bottom"/>
          </w:tcPr>
          <w:p w14:paraId="76D0061E"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1998C01" w14:textId="77777777" w:rsidTr="6E4BEBA0">
        <w:tc>
          <w:tcPr>
            <w:tcW w:w="5858" w:type="dxa"/>
            <w:vAlign w:val="bottom"/>
          </w:tcPr>
          <w:p w14:paraId="26BDA2AF" w14:textId="64B461EE" w:rsidR="007E3E45" w:rsidRPr="0071518E" w:rsidRDefault="007E3E45" w:rsidP="099F2F4D">
            <w:pPr>
              <w:spacing w:after="120"/>
              <w:rPr>
                <w:color w:val="000000"/>
              </w:rPr>
            </w:pPr>
            <w:r w:rsidRPr="099F2F4D">
              <w:rPr>
                <w:color w:val="000000" w:themeColor="text1"/>
              </w:rPr>
              <w:t>No mention of charity's name in this page Reference and administrative details</w:t>
            </w:r>
          </w:p>
        </w:tc>
        <w:tc>
          <w:tcPr>
            <w:tcW w:w="1635" w:type="dxa"/>
            <w:vAlign w:val="bottom"/>
          </w:tcPr>
          <w:p w14:paraId="0D4222BE" w14:textId="77777777" w:rsidR="007E3E45" w:rsidRPr="0071518E" w:rsidRDefault="007E3E45" w:rsidP="00B51B11">
            <w:pPr>
              <w:spacing w:after="120"/>
              <w:rPr>
                <w:rFonts w:cstheme="minorHAnsi"/>
                <w:color w:val="000000"/>
              </w:rPr>
            </w:pPr>
            <w:r w:rsidRPr="0071518E">
              <w:rPr>
                <w:rFonts w:cstheme="minorHAnsi"/>
                <w:color w:val="000000"/>
              </w:rPr>
              <w:t>1.27</w:t>
            </w:r>
          </w:p>
        </w:tc>
        <w:tc>
          <w:tcPr>
            <w:tcW w:w="1523" w:type="dxa"/>
            <w:vAlign w:val="bottom"/>
          </w:tcPr>
          <w:p w14:paraId="045681F4"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1F9EDD37" w14:textId="77777777" w:rsidTr="6E4BEBA0">
        <w:tc>
          <w:tcPr>
            <w:tcW w:w="5858" w:type="dxa"/>
            <w:vAlign w:val="bottom"/>
          </w:tcPr>
          <w:p w14:paraId="42FC1CE3" w14:textId="3DF70A0C" w:rsidR="007E3E45" w:rsidRPr="0071518E" w:rsidRDefault="007E3E45" w:rsidP="1793FD8A">
            <w:pPr>
              <w:spacing w:after="120"/>
              <w:rPr>
                <w:color w:val="000000"/>
              </w:rPr>
            </w:pPr>
            <w:r w:rsidRPr="099F2F4D">
              <w:rPr>
                <w:color w:val="000000" w:themeColor="text1"/>
              </w:rPr>
              <w:t xml:space="preserve">The nationality of </w:t>
            </w:r>
            <w:r w:rsidR="4984B6C2" w:rsidRPr="099F2F4D">
              <w:rPr>
                <w:color w:val="000000" w:themeColor="text1"/>
              </w:rPr>
              <w:t>non-Irish</w:t>
            </w:r>
            <w:r w:rsidRPr="099F2F4D">
              <w:rPr>
                <w:color w:val="000000" w:themeColor="text1"/>
              </w:rPr>
              <w:t xml:space="preserve"> directors </w:t>
            </w:r>
            <w:r w:rsidR="4D1AD06B" w:rsidRPr="099F2F4D">
              <w:rPr>
                <w:color w:val="000000" w:themeColor="text1"/>
              </w:rPr>
              <w:t>s</w:t>
            </w:r>
            <w:r w:rsidR="0071518E" w:rsidRPr="099F2F4D">
              <w:rPr>
                <w:color w:val="000000" w:themeColor="text1"/>
              </w:rPr>
              <w:t>hould</w:t>
            </w:r>
            <w:r w:rsidRPr="099F2F4D">
              <w:rPr>
                <w:color w:val="000000" w:themeColor="text1"/>
              </w:rPr>
              <w:t xml:space="preserve"> be noted </w:t>
            </w:r>
          </w:p>
        </w:tc>
        <w:tc>
          <w:tcPr>
            <w:tcW w:w="1635" w:type="dxa"/>
            <w:vAlign w:val="bottom"/>
          </w:tcPr>
          <w:p w14:paraId="0A66B6F7" w14:textId="77777777" w:rsidR="007E3E45" w:rsidRPr="0071518E" w:rsidRDefault="007E3E45" w:rsidP="00B51B11">
            <w:pPr>
              <w:spacing w:after="120"/>
              <w:rPr>
                <w:rFonts w:cstheme="minorHAnsi"/>
                <w:color w:val="000000"/>
              </w:rPr>
            </w:pPr>
            <w:r w:rsidRPr="0071518E">
              <w:rPr>
                <w:rFonts w:cstheme="minorHAnsi"/>
                <w:color w:val="000000"/>
              </w:rPr>
              <w:t>1.27</w:t>
            </w:r>
          </w:p>
        </w:tc>
        <w:tc>
          <w:tcPr>
            <w:tcW w:w="1523" w:type="dxa"/>
            <w:vAlign w:val="bottom"/>
          </w:tcPr>
          <w:p w14:paraId="72E8469F"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4386B117" w14:textId="77777777" w:rsidTr="6E4BEBA0">
        <w:tc>
          <w:tcPr>
            <w:tcW w:w="5858" w:type="dxa"/>
            <w:vAlign w:val="bottom"/>
          </w:tcPr>
          <w:p w14:paraId="01C4FB59" w14:textId="77777777" w:rsidR="007E3E45" w:rsidRPr="0071518E" w:rsidRDefault="007E3E45" w:rsidP="007E3E45">
            <w:pPr>
              <w:spacing w:after="120"/>
              <w:rPr>
                <w:rFonts w:cstheme="minorHAnsi"/>
                <w:color w:val="000000"/>
              </w:rPr>
            </w:pPr>
            <w:r w:rsidRPr="0071518E">
              <w:rPr>
                <w:rFonts w:cstheme="minorHAnsi"/>
                <w:color w:val="000000"/>
              </w:rPr>
              <w:t xml:space="preserve">Noted in the 'Changes in Directors' section that there were no changes between 31 December 2022 and the date of signing of the financial statements, however, it's noted that Director X resigned on the date the financial statements were signed </w:t>
            </w:r>
          </w:p>
        </w:tc>
        <w:tc>
          <w:tcPr>
            <w:tcW w:w="1635" w:type="dxa"/>
            <w:vAlign w:val="bottom"/>
          </w:tcPr>
          <w:p w14:paraId="402DCBF3" w14:textId="77777777" w:rsidR="007E3E45" w:rsidRPr="0071518E" w:rsidRDefault="007E3E45" w:rsidP="00B51B11">
            <w:pPr>
              <w:spacing w:after="120"/>
              <w:rPr>
                <w:rFonts w:cstheme="minorHAnsi"/>
                <w:color w:val="000000"/>
              </w:rPr>
            </w:pPr>
            <w:r w:rsidRPr="0071518E">
              <w:rPr>
                <w:rFonts w:cstheme="minorHAnsi"/>
                <w:color w:val="000000"/>
              </w:rPr>
              <w:t>1.27</w:t>
            </w:r>
          </w:p>
        </w:tc>
        <w:tc>
          <w:tcPr>
            <w:tcW w:w="1523" w:type="dxa"/>
            <w:vAlign w:val="bottom"/>
          </w:tcPr>
          <w:p w14:paraId="722A26A7"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4CBF6182" w14:textId="77777777" w:rsidTr="6E4BEBA0">
        <w:tc>
          <w:tcPr>
            <w:tcW w:w="5858" w:type="dxa"/>
            <w:vAlign w:val="bottom"/>
          </w:tcPr>
          <w:p w14:paraId="7938871C" w14:textId="64CC55B5" w:rsidR="007E3E45" w:rsidRPr="0071518E" w:rsidRDefault="007E3E45" w:rsidP="1793FD8A">
            <w:pPr>
              <w:spacing w:after="120"/>
              <w:rPr>
                <w:color w:val="000000"/>
              </w:rPr>
            </w:pPr>
            <w:r w:rsidRPr="1793FD8A">
              <w:rPr>
                <w:color w:val="000000" w:themeColor="text1"/>
              </w:rPr>
              <w:t xml:space="preserve">Going concern paragraph not included within the </w:t>
            </w:r>
            <w:r w:rsidR="18F51975" w:rsidRPr="1793FD8A">
              <w:rPr>
                <w:color w:val="000000" w:themeColor="text1"/>
              </w:rPr>
              <w:t>trustees'</w:t>
            </w:r>
            <w:r w:rsidRPr="1793FD8A">
              <w:rPr>
                <w:color w:val="000000" w:themeColor="text1"/>
              </w:rPr>
              <w:t xml:space="preserve"> annual report. Included in accounting policies </w:t>
            </w:r>
          </w:p>
        </w:tc>
        <w:tc>
          <w:tcPr>
            <w:tcW w:w="1635" w:type="dxa"/>
            <w:vAlign w:val="bottom"/>
          </w:tcPr>
          <w:p w14:paraId="483E1CC5" w14:textId="77777777" w:rsidR="007E3E45" w:rsidRPr="0071518E" w:rsidRDefault="007E3E45" w:rsidP="00B51B11">
            <w:pPr>
              <w:spacing w:after="120"/>
              <w:rPr>
                <w:rFonts w:cstheme="minorHAnsi"/>
                <w:color w:val="000000"/>
              </w:rPr>
            </w:pPr>
            <w:r w:rsidRPr="0071518E">
              <w:rPr>
                <w:rFonts w:cstheme="minorHAnsi"/>
                <w:color w:val="000000"/>
              </w:rPr>
              <w:t>1.23</w:t>
            </w:r>
          </w:p>
        </w:tc>
        <w:tc>
          <w:tcPr>
            <w:tcW w:w="1523" w:type="dxa"/>
            <w:vAlign w:val="bottom"/>
          </w:tcPr>
          <w:p w14:paraId="6C8CAC9D"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0B53A921" w14:textId="77777777" w:rsidTr="6E4BEBA0">
        <w:tc>
          <w:tcPr>
            <w:tcW w:w="5858" w:type="dxa"/>
            <w:vAlign w:val="bottom"/>
          </w:tcPr>
          <w:p w14:paraId="592CBFE0" w14:textId="77777777" w:rsidR="007E3E45" w:rsidRPr="0071518E" w:rsidRDefault="007E3E45" w:rsidP="007E3E45">
            <w:pPr>
              <w:spacing w:after="120"/>
              <w:rPr>
                <w:rFonts w:cstheme="minorHAnsi"/>
                <w:color w:val="000000"/>
              </w:rPr>
            </w:pPr>
            <w:r w:rsidRPr="0071518E">
              <w:rPr>
                <w:rFonts w:cstheme="minorHAnsi"/>
                <w:color w:val="000000"/>
              </w:rPr>
              <w:t>Directors Report: No details of the amount spent on, or the number of staff engaged in, undertaking a particular activity.</w:t>
            </w:r>
          </w:p>
        </w:tc>
        <w:tc>
          <w:tcPr>
            <w:tcW w:w="1635" w:type="dxa"/>
            <w:vAlign w:val="bottom"/>
          </w:tcPr>
          <w:p w14:paraId="051B3DEE" w14:textId="77777777" w:rsidR="007E3E45" w:rsidRPr="0071518E" w:rsidRDefault="007E3E45" w:rsidP="00B51B11">
            <w:pPr>
              <w:spacing w:after="120"/>
              <w:rPr>
                <w:rFonts w:cstheme="minorHAnsi"/>
                <w:color w:val="000000"/>
              </w:rPr>
            </w:pPr>
            <w:r w:rsidRPr="0071518E">
              <w:rPr>
                <w:rFonts w:cstheme="minorHAnsi"/>
                <w:color w:val="000000"/>
              </w:rPr>
              <w:t>1.37</w:t>
            </w:r>
          </w:p>
        </w:tc>
        <w:tc>
          <w:tcPr>
            <w:tcW w:w="1523" w:type="dxa"/>
            <w:vAlign w:val="bottom"/>
          </w:tcPr>
          <w:p w14:paraId="0E8FD23B"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00CBB645" w14:textId="77777777" w:rsidTr="6E4BEBA0">
        <w:tc>
          <w:tcPr>
            <w:tcW w:w="5858" w:type="dxa"/>
            <w:vAlign w:val="bottom"/>
          </w:tcPr>
          <w:p w14:paraId="2004D86A" w14:textId="44DE882E" w:rsidR="007E3E45" w:rsidRPr="0071518E" w:rsidRDefault="007E3E45" w:rsidP="1793FD8A">
            <w:pPr>
              <w:spacing w:after="120"/>
              <w:rPr>
                <w:color w:val="000000"/>
              </w:rPr>
            </w:pPr>
            <w:r w:rsidRPr="1793FD8A">
              <w:rPr>
                <w:color w:val="000000" w:themeColor="text1"/>
              </w:rPr>
              <w:t xml:space="preserve">There is only an accounting policy related to volunteers but no further disclosure on the scale </w:t>
            </w:r>
            <w:r w:rsidR="210A6DB0" w:rsidRPr="1793FD8A">
              <w:rPr>
                <w:color w:val="000000" w:themeColor="text1"/>
              </w:rPr>
              <w:t>and nature</w:t>
            </w:r>
            <w:r w:rsidRPr="1793FD8A">
              <w:rPr>
                <w:color w:val="000000" w:themeColor="text1"/>
              </w:rPr>
              <w:t xml:space="preserve"> of activities undertaken within </w:t>
            </w:r>
            <w:r w:rsidR="62EB6A1B" w:rsidRPr="1793FD8A">
              <w:rPr>
                <w:color w:val="000000" w:themeColor="text1"/>
              </w:rPr>
              <w:t>directors'</w:t>
            </w:r>
            <w:r w:rsidRPr="1793FD8A">
              <w:rPr>
                <w:color w:val="000000" w:themeColor="text1"/>
              </w:rPr>
              <w:t xml:space="preserve"> report</w:t>
            </w:r>
          </w:p>
        </w:tc>
        <w:tc>
          <w:tcPr>
            <w:tcW w:w="1635" w:type="dxa"/>
            <w:vAlign w:val="bottom"/>
          </w:tcPr>
          <w:p w14:paraId="64957BA8" w14:textId="77777777" w:rsidR="007E3E45" w:rsidRPr="0071518E" w:rsidRDefault="007E3E45" w:rsidP="00B51B11">
            <w:pPr>
              <w:spacing w:after="120"/>
              <w:rPr>
                <w:rFonts w:cstheme="minorHAnsi"/>
                <w:color w:val="000000"/>
              </w:rPr>
            </w:pPr>
            <w:r w:rsidRPr="0071518E">
              <w:rPr>
                <w:rFonts w:cstheme="minorHAnsi"/>
                <w:color w:val="000000"/>
              </w:rPr>
              <w:t>1.38</w:t>
            </w:r>
          </w:p>
        </w:tc>
        <w:tc>
          <w:tcPr>
            <w:tcW w:w="1523" w:type="dxa"/>
            <w:vAlign w:val="bottom"/>
          </w:tcPr>
          <w:p w14:paraId="741ADC36"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48634D3" w14:textId="77777777" w:rsidTr="6E4BEBA0">
        <w:tc>
          <w:tcPr>
            <w:tcW w:w="5858" w:type="dxa"/>
            <w:vAlign w:val="bottom"/>
          </w:tcPr>
          <w:p w14:paraId="59875C54" w14:textId="77777777" w:rsidR="007E3E45" w:rsidRPr="0071518E" w:rsidRDefault="007E3E45" w:rsidP="007E3E45">
            <w:pPr>
              <w:spacing w:after="120"/>
              <w:rPr>
                <w:rFonts w:cstheme="minorHAnsi"/>
                <w:color w:val="000000"/>
              </w:rPr>
            </w:pPr>
            <w:r w:rsidRPr="0071518E">
              <w:rPr>
                <w:rFonts w:cstheme="minorHAnsi"/>
                <w:color w:val="000000"/>
              </w:rPr>
              <w:t>No explanation of the activities which volunteers support or provide </w:t>
            </w:r>
          </w:p>
        </w:tc>
        <w:tc>
          <w:tcPr>
            <w:tcW w:w="1635" w:type="dxa"/>
            <w:vAlign w:val="bottom"/>
          </w:tcPr>
          <w:p w14:paraId="1E88D6E2" w14:textId="77777777" w:rsidR="007E3E45" w:rsidRPr="0071518E" w:rsidRDefault="007E3E45" w:rsidP="00B51B11">
            <w:pPr>
              <w:spacing w:after="120"/>
              <w:rPr>
                <w:rFonts w:cstheme="minorHAnsi"/>
                <w:color w:val="000000"/>
              </w:rPr>
            </w:pPr>
            <w:r w:rsidRPr="0071518E">
              <w:rPr>
                <w:rFonts w:cstheme="minorHAnsi"/>
                <w:color w:val="000000"/>
              </w:rPr>
              <w:t>1.39</w:t>
            </w:r>
          </w:p>
        </w:tc>
        <w:tc>
          <w:tcPr>
            <w:tcW w:w="1523" w:type="dxa"/>
            <w:vAlign w:val="bottom"/>
          </w:tcPr>
          <w:p w14:paraId="1F3D2940"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1A5A5264" w14:textId="77777777" w:rsidTr="6E4BEBA0">
        <w:tc>
          <w:tcPr>
            <w:tcW w:w="5858" w:type="dxa"/>
            <w:vAlign w:val="bottom"/>
          </w:tcPr>
          <w:p w14:paraId="54906E74" w14:textId="76045806" w:rsidR="007E3E45" w:rsidRPr="0071518E" w:rsidRDefault="007E3E45" w:rsidP="1793FD8A">
            <w:pPr>
              <w:spacing w:after="120"/>
              <w:rPr>
                <w:color w:val="000000"/>
              </w:rPr>
            </w:pPr>
            <w:r w:rsidRPr="1793FD8A">
              <w:rPr>
                <w:color w:val="000000" w:themeColor="text1"/>
              </w:rPr>
              <w:t xml:space="preserve">Programme reports were disclosed. However, there is no information for material </w:t>
            </w:r>
            <w:r w:rsidR="7CDB1DFB" w:rsidRPr="1793FD8A">
              <w:rPr>
                <w:color w:val="000000" w:themeColor="text1"/>
              </w:rPr>
              <w:t>fundraising activities</w:t>
            </w:r>
            <w:r w:rsidRPr="1793FD8A">
              <w:rPr>
                <w:color w:val="000000" w:themeColor="text1"/>
              </w:rPr>
              <w:t xml:space="preserve"> against fundraising objectives set.</w:t>
            </w:r>
          </w:p>
        </w:tc>
        <w:tc>
          <w:tcPr>
            <w:tcW w:w="1635" w:type="dxa"/>
            <w:vAlign w:val="bottom"/>
          </w:tcPr>
          <w:p w14:paraId="123C3A47" w14:textId="77777777" w:rsidR="007E3E45" w:rsidRPr="0071518E" w:rsidRDefault="007E3E45" w:rsidP="00B51B11">
            <w:pPr>
              <w:spacing w:after="120"/>
              <w:rPr>
                <w:rFonts w:cstheme="minorHAnsi"/>
                <w:color w:val="000000"/>
              </w:rPr>
            </w:pPr>
            <w:r w:rsidRPr="0071518E">
              <w:rPr>
                <w:rFonts w:cstheme="minorHAnsi"/>
                <w:color w:val="000000"/>
              </w:rPr>
              <w:t>1.41</w:t>
            </w:r>
          </w:p>
        </w:tc>
        <w:tc>
          <w:tcPr>
            <w:tcW w:w="1523" w:type="dxa"/>
            <w:vAlign w:val="bottom"/>
          </w:tcPr>
          <w:p w14:paraId="09AA6747"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3707FAF3" w14:textId="77777777" w:rsidTr="6E4BEBA0">
        <w:tc>
          <w:tcPr>
            <w:tcW w:w="5858" w:type="dxa"/>
            <w:vAlign w:val="bottom"/>
          </w:tcPr>
          <w:p w14:paraId="47A30679" w14:textId="5F8EAE3F" w:rsidR="007E3E45" w:rsidRPr="0071518E" w:rsidRDefault="007E3E45" w:rsidP="007E3E45">
            <w:pPr>
              <w:spacing w:after="120"/>
              <w:rPr>
                <w:rFonts w:cstheme="minorHAnsi"/>
                <w:color w:val="000000"/>
              </w:rPr>
            </w:pPr>
            <w:r w:rsidRPr="0071518E">
              <w:rPr>
                <w:rFonts w:cstheme="minorHAnsi"/>
                <w:color w:val="000000"/>
              </w:rPr>
              <w:t>There is mention of funding sources during the year however no mention of how these resources support the key objectives of the charity.</w:t>
            </w:r>
          </w:p>
        </w:tc>
        <w:tc>
          <w:tcPr>
            <w:tcW w:w="1635" w:type="dxa"/>
            <w:vAlign w:val="bottom"/>
          </w:tcPr>
          <w:p w14:paraId="5CE47A90" w14:textId="77777777" w:rsidR="007E3E45" w:rsidRPr="0071518E" w:rsidRDefault="007E3E45" w:rsidP="00B51B11">
            <w:pPr>
              <w:spacing w:after="120"/>
              <w:rPr>
                <w:rFonts w:cstheme="minorHAnsi"/>
                <w:color w:val="000000"/>
              </w:rPr>
            </w:pPr>
            <w:r w:rsidRPr="0071518E">
              <w:rPr>
                <w:rFonts w:cstheme="minorHAnsi"/>
                <w:color w:val="000000"/>
              </w:rPr>
              <w:t>1.47</w:t>
            </w:r>
          </w:p>
        </w:tc>
        <w:tc>
          <w:tcPr>
            <w:tcW w:w="1523" w:type="dxa"/>
            <w:vAlign w:val="bottom"/>
          </w:tcPr>
          <w:p w14:paraId="43FFD130"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2AB3F586" w14:textId="77777777" w:rsidTr="6E4BEBA0">
        <w:tc>
          <w:tcPr>
            <w:tcW w:w="5858" w:type="dxa"/>
            <w:vAlign w:val="bottom"/>
          </w:tcPr>
          <w:p w14:paraId="73635DB5" w14:textId="186FC8BB" w:rsidR="007E3E45" w:rsidRPr="0071518E" w:rsidRDefault="007E3E45" w:rsidP="1793FD8A">
            <w:pPr>
              <w:spacing w:after="120"/>
              <w:rPr>
                <w:color w:val="000000"/>
              </w:rPr>
            </w:pPr>
            <w:r w:rsidRPr="0C91BD31">
              <w:rPr>
                <w:color w:val="000000" w:themeColor="text1"/>
              </w:rPr>
              <w:lastRenderedPageBreak/>
              <w:t xml:space="preserve">While there is a detailed investment policy and disclosures included in the Annual </w:t>
            </w:r>
            <w:r w:rsidR="33229330" w:rsidRPr="0C91BD31">
              <w:rPr>
                <w:color w:val="000000" w:themeColor="text1"/>
              </w:rPr>
              <w:t>Report, there</w:t>
            </w:r>
            <w:r w:rsidRPr="0C91BD31">
              <w:rPr>
                <w:color w:val="000000" w:themeColor="text1"/>
              </w:rPr>
              <w:t xml:space="preserve"> is a lack of detail around how investments performed against objectives </w:t>
            </w:r>
            <w:r w:rsidR="07AC6E0B" w:rsidRPr="0C91BD31">
              <w:rPr>
                <w:color w:val="000000" w:themeColor="text1"/>
              </w:rPr>
              <w:t>and</w:t>
            </w:r>
            <w:r w:rsidRPr="0C91BD31">
              <w:rPr>
                <w:color w:val="000000" w:themeColor="text1"/>
              </w:rPr>
              <w:t xml:space="preserve"> the extent to which ESG is considered as part of the investment policy</w:t>
            </w:r>
            <w:r w:rsidR="0071518E" w:rsidRPr="0C91BD31">
              <w:rPr>
                <w:color w:val="000000" w:themeColor="text1"/>
              </w:rPr>
              <w:t>.</w:t>
            </w:r>
          </w:p>
        </w:tc>
        <w:tc>
          <w:tcPr>
            <w:tcW w:w="1635" w:type="dxa"/>
            <w:vAlign w:val="bottom"/>
          </w:tcPr>
          <w:p w14:paraId="19EEF7CD" w14:textId="77777777" w:rsidR="007E3E45" w:rsidRPr="0071518E" w:rsidRDefault="007E3E45" w:rsidP="00B51B11">
            <w:pPr>
              <w:spacing w:after="120"/>
              <w:rPr>
                <w:rFonts w:cstheme="minorHAnsi"/>
                <w:color w:val="000000"/>
              </w:rPr>
            </w:pPr>
            <w:r w:rsidRPr="0071518E">
              <w:rPr>
                <w:rFonts w:cstheme="minorHAnsi"/>
                <w:color w:val="000000"/>
              </w:rPr>
              <w:t>1.41/1.46/1.47</w:t>
            </w:r>
          </w:p>
        </w:tc>
        <w:tc>
          <w:tcPr>
            <w:tcW w:w="1523" w:type="dxa"/>
            <w:vAlign w:val="bottom"/>
          </w:tcPr>
          <w:p w14:paraId="71896A24"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0D82B64" w14:textId="77777777" w:rsidTr="6E4BEBA0">
        <w:tc>
          <w:tcPr>
            <w:tcW w:w="5858" w:type="dxa"/>
            <w:vAlign w:val="bottom"/>
          </w:tcPr>
          <w:p w14:paraId="38C9ED6E" w14:textId="77777777" w:rsidR="007E3E45" w:rsidRPr="0071518E" w:rsidRDefault="007E3E45" w:rsidP="007E3E45">
            <w:pPr>
              <w:spacing w:after="120"/>
              <w:rPr>
                <w:rFonts w:cstheme="minorHAnsi"/>
                <w:color w:val="000000"/>
              </w:rPr>
            </w:pPr>
            <w:r w:rsidRPr="0071518E">
              <w:rPr>
                <w:rFonts w:cstheme="minorHAnsi"/>
                <w:color w:val="000000"/>
              </w:rPr>
              <w:t>Reserves Policy: Only mention of unrestricted reserves, nothing on restricted reserves</w:t>
            </w:r>
          </w:p>
        </w:tc>
        <w:tc>
          <w:tcPr>
            <w:tcW w:w="1635" w:type="dxa"/>
            <w:vAlign w:val="bottom"/>
          </w:tcPr>
          <w:p w14:paraId="298CA4C4" w14:textId="77777777" w:rsidR="007E3E45" w:rsidRPr="0071518E" w:rsidRDefault="007E3E45" w:rsidP="00B51B11">
            <w:pPr>
              <w:spacing w:after="120"/>
              <w:rPr>
                <w:rFonts w:cstheme="minorHAnsi"/>
                <w:color w:val="000000"/>
              </w:rPr>
            </w:pPr>
            <w:r w:rsidRPr="0071518E">
              <w:rPr>
                <w:rFonts w:cstheme="minorHAnsi"/>
                <w:color w:val="000000"/>
              </w:rPr>
              <w:t>1.48</w:t>
            </w:r>
          </w:p>
        </w:tc>
        <w:tc>
          <w:tcPr>
            <w:tcW w:w="1523" w:type="dxa"/>
            <w:vAlign w:val="bottom"/>
          </w:tcPr>
          <w:p w14:paraId="2E60CE48"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54C51D7C" w14:textId="77777777" w:rsidTr="6E4BEBA0">
        <w:tc>
          <w:tcPr>
            <w:tcW w:w="5858" w:type="dxa"/>
            <w:vAlign w:val="bottom"/>
          </w:tcPr>
          <w:p w14:paraId="5DA9E06E" w14:textId="0E6811C0" w:rsidR="007E3E45" w:rsidRPr="0071518E" w:rsidRDefault="007E3E45" w:rsidP="0C91BD31">
            <w:pPr>
              <w:spacing w:after="120"/>
              <w:rPr>
                <w:color w:val="000000"/>
              </w:rPr>
            </w:pPr>
            <w:r w:rsidRPr="0C91BD31">
              <w:rPr>
                <w:color w:val="000000" w:themeColor="text1"/>
              </w:rPr>
              <w:t xml:space="preserve">Total funds held by the Charity at the end of reporting period is not disclosed within Reserves </w:t>
            </w:r>
            <w:r w:rsidR="69651413" w:rsidRPr="0C91BD31">
              <w:rPr>
                <w:color w:val="000000" w:themeColor="text1"/>
              </w:rPr>
              <w:t>Policy per</w:t>
            </w:r>
            <w:r w:rsidRPr="0C91BD31">
              <w:rPr>
                <w:color w:val="000000" w:themeColor="text1"/>
              </w:rPr>
              <w:t xml:space="preserve"> Directors Report and </w:t>
            </w:r>
            <w:r w:rsidR="00A92A6D">
              <w:rPr>
                <w:color w:val="000000" w:themeColor="text1"/>
              </w:rPr>
              <w:t>no comparison of</w:t>
            </w:r>
            <w:r w:rsidRPr="0C91BD31">
              <w:rPr>
                <w:color w:val="000000" w:themeColor="text1"/>
              </w:rPr>
              <w:t xml:space="preserve"> the </w:t>
            </w:r>
            <w:proofErr w:type="gramStart"/>
            <w:r w:rsidRPr="0C91BD31">
              <w:rPr>
                <w:color w:val="000000" w:themeColor="text1"/>
              </w:rPr>
              <w:t>amount</w:t>
            </w:r>
            <w:proofErr w:type="gramEnd"/>
            <w:r w:rsidRPr="0C91BD31">
              <w:rPr>
                <w:color w:val="000000" w:themeColor="text1"/>
              </w:rPr>
              <w:t xml:space="preserve"> of </w:t>
            </w:r>
            <w:r w:rsidR="00A92A6D">
              <w:rPr>
                <w:color w:val="000000" w:themeColor="text1"/>
              </w:rPr>
              <w:t xml:space="preserve">actual </w:t>
            </w:r>
            <w:r w:rsidRPr="0C91BD31">
              <w:rPr>
                <w:color w:val="000000" w:themeColor="text1"/>
              </w:rPr>
              <w:t xml:space="preserve">reserves with the </w:t>
            </w:r>
            <w:r w:rsidR="00A92A6D">
              <w:rPr>
                <w:color w:val="000000" w:themeColor="text1"/>
              </w:rPr>
              <w:t xml:space="preserve">target per the </w:t>
            </w:r>
            <w:r w:rsidRPr="0C91BD31">
              <w:rPr>
                <w:color w:val="000000" w:themeColor="text1"/>
              </w:rPr>
              <w:t>charity's reserves policy.</w:t>
            </w:r>
          </w:p>
        </w:tc>
        <w:tc>
          <w:tcPr>
            <w:tcW w:w="1635" w:type="dxa"/>
            <w:vAlign w:val="bottom"/>
          </w:tcPr>
          <w:p w14:paraId="4B89D301" w14:textId="77777777" w:rsidR="007E3E45" w:rsidRPr="0071518E" w:rsidRDefault="007E3E45" w:rsidP="00B51B11">
            <w:pPr>
              <w:spacing w:after="120"/>
              <w:rPr>
                <w:rFonts w:cstheme="minorHAnsi"/>
                <w:color w:val="000000"/>
              </w:rPr>
            </w:pPr>
            <w:r w:rsidRPr="0071518E">
              <w:rPr>
                <w:rFonts w:cstheme="minorHAnsi"/>
                <w:color w:val="000000"/>
              </w:rPr>
              <w:t>1.48</w:t>
            </w:r>
          </w:p>
        </w:tc>
        <w:tc>
          <w:tcPr>
            <w:tcW w:w="1523" w:type="dxa"/>
            <w:vAlign w:val="bottom"/>
          </w:tcPr>
          <w:p w14:paraId="6E347828"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3DB5E8E1" w14:textId="77777777" w:rsidTr="6E4BEBA0">
        <w:tc>
          <w:tcPr>
            <w:tcW w:w="5858" w:type="dxa"/>
            <w:vAlign w:val="bottom"/>
          </w:tcPr>
          <w:p w14:paraId="7458DAFB" w14:textId="77777777" w:rsidR="007E3E45" w:rsidRPr="0071518E" w:rsidRDefault="007E3E45" w:rsidP="007E3E45">
            <w:pPr>
              <w:spacing w:after="120"/>
              <w:rPr>
                <w:rFonts w:cstheme="minorHAnsi"/>
                <w:color w:val="000000"/>
              </w:rPr>
            </w:pPr>
            <w:r w:rsidRPr="0071518E">
              <w:rPr>
                <w:rFonts w:cstheme="minorHAnsi"/>
                <w:color w:val="000000"/>
              </w:rPr>
              <w:t xml:space="preserve">There is a paragraph on </w:t>
            </w:r>
            <w:proofErr w:type="gramStart"/>
            <w:r w:rsidRPr="0071518E">
              <w:rPr>
                <w:rFonts w:cstheme="minorHAnsi"/>
                <w:color w:val="000000"/>
              </w:rPr>
              <w:t>future plans</w:t>
            </w:r>
            <w:proofErr w:type="gramEnd"/>
            <w:r w:rsidRPr="0071518E">
              <w:rPr>
                <w:rFonts w:cstheme="minorHAnsi"/>
                <w:color w:val="000000"/>
              </w:rPr>
              <w:t xml:space="preserve"> under Governance, Structure and Management however not very detailed and covers only the 2024 plans.</w:t>
            </w:r>
          </w:p>
        </w:tc>
        <w:tc>
          <w:tcPr>
            <w:tcW w:w="1635" w:type="dxa"/>
            <w:vAlign w:val="bottom"/>
          </w:tcPr>
          <w:p w14:paraId="76E86AF0" w14:textId="77777777" w:rsidR="007E3E45" w:rsidRPr="0071518E" w:rsidRDefault="007E3E45" w:rsidP="00B51B11">
            <w:pPr>
              <w:spacing w:after="120"/>
              <w:rPr>
                <w:rFonts w:cstheme="minorHAnsi"/>
                <w:color w:val="000000"/>
              </w:rPr>
            </w:pPr>
            <w:r w:rsidRPr="0071518E">
              <w:rPr>
                <w:rFonts w:cstheme="minorHAnsi"/>
                <w:color w:val="000000"/>
              </w:rPr>
              <w:t>1.49</w:t>
            </w:r>
          </w:p>
        </w:tc>
        <w:tc>
          <w:tcPr>
            <w:tcW w:w="1523" w:type="dxa"/>
            <w:vAlign w:val="bottom"/>
          </w:tcPr>
          <w:p w14:paraId="7A7BD21E"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18FC3F4E" w14:textId="77777777" w:rsidTr="6E4BEBA0">
        <w:tc>
          <w:tcPr>
            <w:tcW w:w="5858" w:type="dxa"/>
            <w:vAlign w:val="bottom"/>
          </w:tcPr>
          <w:p w14:paraId="325D0B8F" w14:textId="26E8031D" w:rsidR="007E3E45" w:rsidRPr="0071518E" w:rsidRDefault="007E3E45" w:rsidP="099F2F4D">
            <w:pPr>
              <w:spacing w:after="120"/>
              <w:rPr>
                <w:color w:val="000000"/>
              </w:rPr>
            </w:pPr>
            <w:r w:rsidRPr="099F2F4D">
              <w:rPr>
                <w:color w:val="000000" w:themeColor="text1"/>
              </w:rPr>
              <w:t xml:space="preserve">No reference to </w:t>
            </w:r>
            <w:r w:rsidR="13B065F1" w:rsidRPr="099F2F4D">
              <w:rPr>
                <w:color w:val="000000" w:themeColor="text1"/>
              </w:rPr>
              <w:t>solicitors'</w:t>
            </w:r>
            <w:r w:rsidRPr="099F2F4D">
              <w:rPr>
                <w:color w:val="000000" w:themeColor="text1"/>
              </w:rPr>
              <w:t xml:space="preserve"> details in the info section of the Annual Report</w:t>
            </w:r>
          </w:p>
        </w:tc>
        <w:tc>
          <w:tcPr>
            <w:tcW w:w="1635" w:type="dxa"/>
            <w:vAlign w:val="bottom"/>
          </w:tcPr>
          <w:p w14:paraId="4DCB0027" w14:textId="77777777" w:rsidR="007E3E45" w:rsidRPr="0071518E" w:rsidRDefault="007E3E45" w:rsidP="00B51B11">
            <w:pPr>
              <w:spacing w:after="120"/>
              <w:rPr>
                <w:rFonts w:cstheme="minorHAnsi"/>
                <w:color w:val="000000"/>
              </w:rPr>
            </w:pPr>
            <w:r w:rsidRPr="0071518E">
              <w:rPr>
                <w:rFonts w:cstheme="minorHAnsi"/>
                <w:color w:val="000000"/>
              </w:rPr>
              <w:t>1.52</w:t>
            </w:r>
          </w:p>
        </w:tc>
        <w:tc>
          <w:tcPr>
            <w:tcW w:w="1523" w:type="dxa"/>
            <w:vAlign w:val="bottom"/>
          </w:tcPr>
          <w:p w14:paraId="72CEB175"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3B723B98" w14:textId="77777777" w:rsidTr="6E4BEBA0">
        <w:tc>
          <w:tcPr>
            <w:tcW w:w="5858" w:type="dxa"/>
            <w:vAlign w:val="bottom"/>
          </w:tcPr>
          <w:p w14:paraId="4C4F745E" w14:textId="253DA876" w:rsidR="007E3E45" w:rsidRPr="0071518E" w:rsidRDefault="007E3E45" w:rsidP="099F2F4D">
            <w:pPr>
              <w:spacing w:after="120"/>
              <w:rPr>
                <w:color w:val="000000"/>
              </w:rPr>
            </w:pPr>
            <w:r w:rsidRPr="099F2F4D">
              <w:rPr>
                <w:color w:val="000000" w:themeColor="text1"/>
              </w:rPr>
              <w:t xml:space="preserve">Name of CEO was not disclosed on Reference &amp; Administrative info but is disclosed under Structure, Governance &amp; </w:t>
            </w:r>
            <w:r w:rsidR="0A5F81BD" w:rsidRPr="099F2F4D">
              <w:rPr>
                <w:color w:val="000000" w:themeColor="text1"/>
              </w:rPr>
              <w:t>M</w:t>
            </w:r>
            <w:r w:rsidRPr="099F2F4D">
              <w:rPr>
                <w:color w:val="000000" w:themeColor="text1"/>
              </w:rPr>
              <w:t>anagement.</w:t>
            </w:r>
          </w:p>
        </w:tc>
        <w:tc>
          <w:tcPr>
            <w:tcW w:w="1635" w:type="dxa"/>
            <w:vAlign w:val="bottom"/>
          </w:tcPr>
          <w:p w14:paraId="2518F0A9" w14:textId="77777777" w:rsidR="007E3E45" w:rsidRPr="0071518E" w:rsidRDefault="007E3E45" w:rsidP="00B51B11">
            <w:pPr>
              <w:spacing w:after="120"/>
              <w:rPr>
                <w:rFonts w:cstheme="minorHAnsi"/>
                <w:color w:val="000000"/>
              </w:rPr>
            </w:pPr>
            <w:r w:rsidRPr="0071518E">
              <w:rPr>
                <w:rFonts w:cstheme="minorHAnsi"/>
                <w:color w:val="000000"/>
              </w:rPr>
              <w:t>1.52</w:t>
            </w:r>
          </w:p>
        </w:tc>
        <w:tc>
          <w:tcPr>
            <w:tcW w:w="1523" w:type="dxa"/>
            <w:vAlign w:val="bottom"/>
          </w:tcPr>
          <w:p w14:paraId="67F6CBEC"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57F1BF06" w14:textId="77777777" w:rsidTr="6E4BEBA0">
        <w:tc>
          <w:tcPr>
            <w:tcW w:w="5858" w:type="dxa"/>
            <w:vAlign w:val="bottom"/>
          </w:tcPr>
          <w:p w14:paraId="6AA6D7F3" w14:textId="7497ECDA" w:rsidR="007E3E45" w:rsidRPr="0071518E" w:rsidRDefault="007E3E45" w:rsidP="0C91BD31">
            <w:pPr>
              <w:spacing w:after="120"/>
              <w:rPr>
                <w:color w:val="000000"/>
              </w:rPr>
            </w:pPr>
            <w:r w:rsidRPr="0C91BD31">
              <w:rPr>
                <w:color w:val="000000" w:themeColor="text1"/>
              </w:rPr>
              <w:t xml:space="preserve">No date of approval on the Annual report by the Board of Trustee. Approval was only included in </w:t>
            </w:r>
            <w:r w:rsidR="7459204C" w:rsidRPr="0C91BD31">
              <w:rPr>
                <w:color w:val="000000" w:themeColor="text1"/>
              </w:rPr>
              <w:t>the Statement</w:t>
            </w:r>
            <w:r w:rsidRPr="0C91BD31">
              <w:rPr>
                <w:color w:val="000000" w:themeColor="text1"/>
              </w:rPr>
              <w:t xml:space="preserve"> of Directors' Responsibilities with the name of Directors.</w:t>
            </w:r>
          </w:p>
        </w:tc>
        <w:tc>
          <w:tcPr>
            <w:tcW w:w="1635" w:type="dxa"/>
            <w:vAlign w:val="bottom"/>
          </w:tcPr>
          <w:p w14:paraId="451AB481" w14:textId="77777777" w:rsidR="007E3E45" w:rsidRPr="0071518E" w:rsidRDefault="007E3E45" w:rsidP="00B51B11">
            <w:pPr>
              <w:spacing w:after="120"/>
              <w:rPr>
                <w:rFonts w:cstheme="minorHAnsi"/>
                <w:color w:val="000000"/>
              </w:rPr>
            </w:pPr>
            <w:r w:rsidRPr="0071518E">
              <w:rPr>
                <w:rFonts w:cstheme="minorHAnsi"/>
                <w:color w:val="000000"/>
              </w:rPr>
              <w:t>1.8</w:t>
            </w:r>
          </w:p>
        </w:tc>
        <w:tc>
          <w:tcPr>
            <w:tcW w:w="1523" w:type="dxa"/>
            <w:vAlign w:val="bottom"/>
          </w:tcPr>
          <w:p w14:paraId="3AFE231A"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B09E4AC" w14:textId="77777777" w:rsidTr="6E4BEBA0">
        <w:tc>
          <w:tcPr>
            <w:tcW w:w="5858" w:type="dxa"/>
            <w:vAlign w:val="bottom"/>
          </w:tcPr>
          <w:p w14:paraId="7066458D" w14:textId="77777777" w:rsidR="007E3E45" w:rsidRPr="0071518E" w:rsidRDefault="007E3E45" w:rsidP="007E3E45">
            <w:pPr>
              <w:spacing w:after="120"/>
              <w:rPr>
                <w:rFonts w:cstheme="minorHAnsi"/>
                <w:color w:val="000000"/>
              </w:rPr>
            </w:pPr>
            <w:r w:rsidRPr="0071518E">
              <w:rPr>
                <w:rFonts w:cstheme="minorHAnsi"/>
                <w:color w:val="000000"/>
              </w:rPr>
              <w:t xml:space="preserve">Items in the SOFA related to 2022 have not been analysed between unrestricted and restricted funds </w:t>
            </w:r>
          </w:p>
        </w:tc>
        <w:tc>
          <w:tcPr>
            <w:tcW w:w="1635" w:type="dxa"/>
            <w:vAlign w:val="bottom"/>
          </w:tcPr>
          <w:p w14:paraId="384EA20B" w14:textId="77777777" w:rsidR="007E3E45" w:rsidRPr="0071518E" w:rsidRDefault="007E3E45" w:rsidP="00B51B11">
            <w:pPr>
              <w:spacing w:after="120"/>
              <w:rPr>
                <w:rFonts w:cstheme="minorHAnsi"/>
                <w:color w:val="000000"/>
              </w:rPr>
            </w:pPr>
            <w:r w:rsidRPr="0071518E">
              <w:rPr>
                <w:rFonts w:cstheme="minorHAnsi"/>
                <w:color w:val="000000"/>
              </w:rPr>
              <w:t>2.27</w:t>
            </w:r>
          </w:p>
        </w:tc>
        <w:tc>
          <w:tcPr>
            <w:tcW w:w="1523" w:type="dxa"/>
            <w:vAlign w:val="bottom"/>
          </w:tcPr>
          <w:p w14:paraId="460D5648"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76722899" w14:textId="77777777" w:rsidTr="6E4BEBA0">
        <w:tc>
          <w:tcPr>
            <w:tcW w:w="5858" w:type="dxa"/>
            <w:vAlign w:val="bottom"/>
          </w:tcPr>
          <w:p w14:paraId="3460FE39" w14:textId="77777777" w:rsidR="007E3E45" w:rsidRPr="0071518E" w:rsidRDefault="007E3E45" w:rsidP="007E3E45">
            <w:pPr>
              <w:spacing w:after="120"/>
              <w:rPr>
                <w:rFonts w:cstheme="minorHAnsi"/>
                <w:color w:val="000000"/>
              </w:rPr>
            </w:pPr>
            <w:r w:rsidRPr="0071518E">
              <w:rPr>
                <w:rFonts w:cstheme="minorHAnsi"/>
                <w:color w:val="000000"/>
              </w:rPr>
              <w:t>There is no table summarizing the assets and liabilities that are restricted and unrestricted</w:t>
            </w:r>
          </w:p>
        </w:tc>
        <w:tc>
          <w:tcPr>
            <w:tcW w:w="1635" w:type="dxa"/>
            <w:vAlign w:val="bottom"/>
          </w:tcPr>
          <w:p w14:paraId="5DD74109" w14:textId="77777777" w:rsidR="007E3E45" w:rsidRPr="0071518E" w:rsidRDefault="007E3E45" w:rsidP="00B51B11">
            <w:pPr>
              <w:spacing w:after="120"/>
              <w:rPr>
                <w:rFonts w:cstheme="minorHAnsi"/>
                <w:color w:val="000000"/>
              </w:rPr>
            </w:pPr>
            <w:r w:rsidRPr="0071518E">
              <w:rPr>
                <w:rFonts w:cstheme="minorHAnsi"/>
                <w:color w:val="000000"/>
              </w:rPr>
              <w:t>2.28</w:t>
            </w:r>
          </w:p>
        </w:tc>
        <w:tc>
          <w:tcPr>
            <w:tcW w:w="1523" w:type="dxa"/>
            <w:vAlign w:val="bottom"/>
          </w:tcPr>
          <w:p w14:paraId="13161B98"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7340263" w14:textId="77777777" w:rsidTr="6E4BEBA0">
        <w:tc>
          <w:tcPr>
            <w:tcW w:w="5858" w:type="dxa"/>
            <w:vAlign w:val="bottom"/>
          </w:tcPr>
          <w:p w14:paraId="4909EACC" w14:textId="77777777" w:rsidR="007E3E45" w:rsidRPr="0071518E" w:rsidRDefault="007E3E45" w:rsidP="007E3E45">
            <w:pPr>
              <w:spacing w:after="120"/>
              <w:rPr>
                <w:rFonts w:cstheme="minorHAnsi"/>
                <w:color w:val="000000"/>
              </w:rPr>
            </w:pPr>
            <w:r w:rsidRPr="0071518E">
              <w:rPr>
                <w:rFonts w:cstheme="minorHAnsi"/>
                <w:color w:val="000000"/>
              </w:rPr>
              <w:t xml:space="preserve">No comparative figures given for Analysis of Net Assets by Fund Note. </w:t>
            </w:r>
          </w:p>
        </w:tc>
        <w:tc>
          <w:tcPr>
            <w:tcW w:w="1635" w:type="dxa"/>
            <w:vAlign w:val="bottom"/>
          </w:tcPr>
          <w:p w14:paraId="59BF784F" w14:textId="77777777" w:rsidR="007E3E45" w:rsidRPr="0071518E" w:rsidRDefault="007E3E45" w:rsidP="00B51B11">
            <w:pPr>
              <w:spacing w:after="120"/>
              <w:rPr>
                <w:rFonts w:cstheme="minorHAnsi"/>
                <w:color w:val="000000"/>
              </w:rPr>
            </w:pPr>
            <w:r w:rsidRPr="0071518E">
              <w:rPr>
                <w:rFonts w:cstheme="minorHAnsi"/>
                <w:color w:val="000000"/>
              </w:rPr>
              <w:t>2.29</w:t>
            </w:r>
          </w:p>
        </w:tc>
        <w:tc>
          <w:tcPr>
            <w:tcW w:w="1523" w:type="dxa"/>
            <w:vAlign w:val="bottom"/>
          </w:tcPr>
          <w:p w14:paraId="47E21210"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7CD88A33" w14:textId="77777777" w:rsidTr="6E4BEBA0">
        <w:tc>
          <w:tcPr>
            <w:tcW w:w="5858" w:type="dxa"/>
            <w:vAlign w:val="bottom"/>
          </w:tcPr>
          <w:p w14:paraId="16C9C899" w14:textId="77777777" w:rsidR="007E3E45" w:rsidRPr="0071518E" w:rsidRDefault="007E3E45" w:rsidP="007E3E45">
            <w:pPr>
              <w:spacing w:after="120"/>
              <w:rPr>
                <w:rFonts w:cstheme="minorHAnsi"/>
                <w:color w:val="000000"/>
              </w:rPr>
            </w:pPr>
            <w:r w:rsidRPr="0071518E">
              <w:rPr>
                <w:rFonts w:cstheme="minorHAnsi"/>
                <w:color w:val="000000"/>
              </w:rPr>
              <w:t>No explanation as to the factors that support the conclusions that the charity is a going concern</w:t>
            </w:r>
          </w:p>
        </w:tc>
        <w:tc>
          <w:tcPr>
            <w:tcW w:w="1635" w:type="dxa"/>
            <w:vAlign w:val="bottom"/>
          </w:tcPr>
          <w:p w14:paraId="2C018CE0" w14:textId="77777777" w:rsidR="007E3E45" w:rsidRPr="0071518E" w:rsidRDefault="007E3E45" w:rsidP="00B51B11">
            <w:pPr>
              <w:spacing w:after="120"/>
              <w:rPr>
                <w:rFonts w:cstheme="minorHAnsi"/>
                <w:color w:val="000000"/>
              </w:rPr>
            </w:pPr>
            <w:r w:rsidRPr="0071518E">
              <w:rPr>
                <w:rFonts w:cstheme="minorHAnsi"/>
                <w:color w:val="000000"/>
              </w:rPr>
              <w:t>3.38</w:t>
            </w:r>
          </w:p>
        </w:tc>
        <w:tc>
          <w:tcPr>
            <w:tcW w:w="1523" w:type="dxa"/>
            <w:vAlign w:val="bottom"/>
          </w:tcPr>
          <w:p w14:paraId="1417C4B7"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235D2DF6" w14:textId="77777777" w:rsidTr="6E4BEBA0">
        <w:tc>
          <w:tcPr>
            <w:tcW w:w="5858" w:type="dxa"/>
            <w:vAlign w:val="bottom"/>
          </w:tcPr>
          <w:p w14:paraId="3FBF8027" w14:textId="77777777" w:rsidR="007E3E45" w:rsidRPr="0071518E" w:rsidRDefault="007E3E45" w:rsidP="007E3E45">
            <w:pPr>
              <w:spacing w:after="120"/>
              <w:rPr>
                <w:rFonts w:cstheme="minorHAnsi"/>
                <w:color w:val="000000"/>
              </w:rPr>
            </w:pPr>
            <w:r w:rsidRPr="0071518E">
              <w:rPr>
                <w:rFonts w:cstheme="minorHAnsi"/>
                <w:color w:val="000000"/>
              </w:rPr>
              <w:t xml:space="preserve">Not stated that there are no material uncertainties about the Charity's ability to continue </w:t>
            </w:r>
          </w:p>
        </w:tc>
        <w:tc>
          <w:tcPr>
            <w:tcW w:w="1635" w:type="dxa"/>
            <w:vAlign w:val="bottom"/>
          </w:tcPr>
          <w:p w14:paraId="65A30275" w14:textId="77777777" w:rsidR="007E3E45" w:rsidRPr="0071518E" w:rsidRDefault="007E3E45" w:rsidP="00B51B11">
            <w:pPr>
              <w:spacing w:after="120"/>
              <w:rPr>
                <w:rFonts w:cstheme="minorHAnsi"/>
                <w:color w:val="000000"/>
              </w:rPr>
            </w:pPr>
            <w:r w:rsidRPr="0071518E">
              <w:rPr>
                <w:rFonts w:cstheme="minorHAnsi"/>
                <w:color w:val="000000"/>
              </w:rPr>
              <w:t>3.39</w:t>
            </w:r>
          </w:p>
        </w:tc>
        <w:tc>
          <w:tcPr>
            <w:tcW w:w="1523" w:type="dxa"/>
            <w:vAlign w:val="bottom"/>
          </w:tcPr>
          <w:p w14:paraId="7A0337A3"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0A0A50F" w14:textId="77777777" w:rsidTr="6E4BEBA0">
        <w:tc>
          <w:tcPr>
            <w:tcW w:w="5858" w:type="dxa"/>
            <w:vAlign w:val="bottom"/>
          </w:tcPr>
          <w:p w14:paraId="31AD0467" w14:textId="77777777" w:rsidR="007E3E45" w:rsidRPr="0071518E" w:rsidRDefault="007E3E45" w:rsidP="007E3E45">
            <w:pPr>
              <w:spacing w:after="120"/>
              <w:rPr>
                <w:rFonts w:cstheme="minorHAnsi"/>
                <w:color w:val="000000"/>
              </w:rPr>
            </w:pPr>
            <w:r w:rsidRPr="0071518E">
              <w:rPr>
                <w:rFonts w:cstheme="minorHAnsi"/>
                <w:color w:val="000000"/>
              </w:rPr>
              <w:t>Notes to the accounts: The charity is a public benefit entity: Explicitly mentioned in the Overview of Company Structure but not mentioned explicitly in the notes.</w:t>
            </w:r>
          </w:p>
        </w:tc>
        <w:tc>
          <w:tcPr>
            <w:tcW w:w="1635" w:type="dxa"/>
            <w:vAlign w:val="bottom"/>
          </w:tcPr>
          <w:p w14:paraId="269EBE80" w14:textId="77777777" w:rsidR="007E3E45" w:rsidRPr="00600774" w:rsidRDefault="007E3E45" w:rsidP="00B51B11">
            <w:pPr>
              <w:spacing w:after="120"/>
              <w:rPr>
                <w:rFonts w:cstheme="minorHAnsi"/>
                <w:color w:val="000000"/>
              </w:rPr>
            </w:pPr>
            <w:r w:rsidRPr="00600774">
              <w:rPr>
                <w:rFonts w:cstheme="minorHAnsi"/>
                <w:color w:val="000000"/>
              </w:rPr>
              <w:t>3.4</w:t>
            </w:r>
          </w:p>
        </w:tc>
        <w:tc>
          <w:tcPr>
            <w:tcW w:w="1523" w:type="dxa"/>
            <w:vAlign w:val="bottom"/>
          </w:tcPr>
          <w:p w14:paraId="4BA6488B"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3E127A01" w14:textId="77777777" w:rsidTr="6E4BEBA0">
        <w:tc>
          <w:tcPr>
            <w:tcW w:w="5858" w:type="dxa"/>
            <w:vAlign w:val="bottom"/>
          </w:tcPr>
          <w:p w14:paraId="35406F46" w14:textId="77777777" w:rsidR="007E3E45" w:rsidRPr="0071518E" w:rsidRDefault="007E3E45" w:rsidP="007E3E45">
            <w:pPr>
              <w:spacing w:after="120"/>
              <w:rPr>
                <w:rFonts w:cstheme="minorHAnsi"/>
                <w:color w:val="000000"/>
              </w:rPr>
            </w:pPr>
            <w:r w:rsidRPr="0071518E">
              <w:rPr>
                <w:rFonts w:cstheme="minorHAnsi"/>
                <w:color w:val="000000"/>
              </w:rPr>
              <w:t>The accounts do not specify that the charity is a public benefit entity </w:t>
            </w:r>
          </w:p>
        </w:tc>
        <w:tc>
          <w:tcPr>
            <w:tcW w:w="1635" w:type="dxa"/>
            <w:vAlign w:val="bottom"/>
          </w:tcPr>
          <w:p w14:paraId="3CA4433B" w14:textId="77777777" w:rsidR="007E3E45" w:rsidRPr="00600774" w:rsidRDefault="007E3E45" w:rsidP="00B51B11">
            <w:pPr>
              <w:spacing w:after="120"/>
              <w:rPr>
                <w:rFonts w:cstheme="minorHAnsi"/>
                <w:color w:val="000000"/>
              </w:rPr>
            </w:pPr>
            <w:r w:rsidRPr="00600774">
              <w:rPr>
                <w:rFonts w:cstheme="minorHAnsi"/>
                <w:color w:val="000000"/>
              </w:rPr>
              <w:t>3.4</w:t>
            </w:r>
          </w:p>
        </w:tc>
        <w:tc>
          <w:tcPr>
            <w:tcW w:w="1523" w:type="dxa"/>
            <w:vAlign w:val="bottom"/>
          </w:tcPr>
          <w:p w14:paraId="1700A387"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02C10294" w14:textId="77777777" w:rsidTr="6E4BEBA0">
        <w:tc>
          <w:tcPr>
            <w:tcW w:w="5858" w:type="dxa"/>
            <w:vAlign w:val="bottom"/>
          </w:tcPr>
          <w:p w14:paraId="30492B43" w14:textId="2F79C840" w:rsidR="007E3E45" w:rsidRPr="0071518E" w:rsidRDefault="007E3E45" w:rsidP="0C91BD31">
            <w:pPr>
              <w:spacing w:after="120"/>
              <w:rPr>
                <w:color w:val="000000"/>
              </w:rPr>
            </w:pPr>
            <w:r w:rsidRPr="099F2F4D">
              <w:rPr>
                <w:color w:val="000000" w:themeColor="text1"/>
              </w:rPr>
              <w:t xml:space="preserve">The key assumptions concerning the future, and other key sources of estimation uncertainty at </w:t>
            </w:r>
            <w:r w:rsidR="794EEFC7" w:rsidRPr="099F2F4D">
              <w:rPr>
                <w:color w:val="000000" w:themeColor="text1"/>
              </w:rPr>
              <w:t>the reporting</w:t>
            </w:r>
            <w:r w:rsidRPr="099F2F4D">
              <w:rPr>
                <w:color w:val="000000" w:themeColor="text1"/>
              </w:rPr>
              <w:t xml:space="preserve"> date that have a significant risk of causing a material adjustment to the carrying </w:t>
            </w:r>
            <w:r w:rsidR="0BB59EEE" w:rsidRPr="099F2F4D">
              <w:rPr>
                <w:color w:val="000000" w:themeColor="text1"/>
              </w:rPr>
              <w:t>amounts of</w:t>
            </w:r>
            <w:r w:rsidRPr="099F2F4D">
              <w:rPr>
                <w:color w:val="000000" w:themeColor="text1"/>
              </w:rPr>
              <w:t xml:space="preserve"> assets and liabilities is not disclosed in the Financial Statements.</w:t>
            </w:r>
          </w:p>
        </w:tc>
        <w:tc>
          <w:tcPr>
            <w:tcW w:w="1635" w:type="dxa"/>
            <w:vAlign w:val="bottom"/>
          </w:tcPr>
          <w:p w14:paraId="40C4042D" w14:textId="77777777" w:rsidR="007E3E45" w:rsidRPr="00600774" w:rsidRDefault="007E3E45" w:rsidP="00B81FD2">
            <w:pPr>
              <w:spacing w:after="120"/>
              <w:rPr>
                <w:rFonts w:cstheme="minorHAnsi"/>
                <w:color w:val="000000"/>
              </w:rPr>
            </w:pPr>
            <w:r w:rsidRPr="00600774">
              <w:rPr>
                <w:rFonts w:cstheme="minorHAnsi"/>
                <w:color w:val="000000"/>
              </w:rPr>
              <w:t>3.4</w:t>
            </w:r>
          </w:p>
        </w:tc>
        <w:tc>
          <w:tcPr>
            <w:tcW w:w="1523" w:type="dxa"/>
            <w:vAlign w:val="bottom"/>
          </w:tcPr>
          <w:p w14:paraId="42EB629A" w14:textId="77777777" w:rsidR="007E3E45" w:rsidRPr="0071518E" w:rsidRDefault="0071518E" w:rsidP="00B81FD2">
            <w:pPr>
              <w:spacing w:after="120"/>
              <w:rPr>
                <w:rFonts w:cstheme="minorHAnsi"/>
                <w:color w:val="000000"/>
              </w:rPr>
            </w:pPr>
            <w:r>
              <w:rPr>
                <w:rFonts w:cstheme="minorHAnsi"/>
                <w:color w:val="000000"/>
              </w:rPr>
              <w:t>Must</w:t>
            </w:r>
          </w:p>
        </w:tc>
      </w:tr>
      <w:tr w:rsidR="007E3E45" w:rsidRPr="0071518E" w14:paraId="29F70531" w14:textId="77777777" w:rsidTr="6E4BEBA0">
        <w:tc>
          <w:tcPr>
            <w:tcW w:w="5858" w:type="dxa"/>
            <w:vAlign w:val="bottom"/>
          </w:tcPr>
          <w:p w14:paraId="1A8EFE0B" w14:textId="0DDB89DF" w:rsidR="007E3E45" w:rsidRPr="0071518E" w:rsidRDefault="007E3E45" w:rsidP="099F2F4D">
            <w:pPr>
              <w:spacing w:after="120"/>
              <w:rPr>
                <w:color w:val="000000"/>
              </w:rPr>
            </w:pPr>
            <w:r w:rsidRPr="099F2F4D">
              <w:rPr>
                <w:color w:val="000000" w:themeColor="text1"/>
              </w:rPr>
              <w:lastRenderedPageBreak/>
              <w:t xml:space="preserve">Supplementary notes do not show deferred </w:t>
            </w:r>
            <w:r w:rsidR="5D9F192E" w:rsidRPr="099F2F4D">
              <w:rPr>
                <w:color w:val="000000" w:themeColor="text1"/>
              </w:rPr>
              <w:t>income for</w:t>
            </w:r>
            <w:r w:rsidRPr="099F2F4D">
              <w:rPr>
                <w:color w:val="000000" w:themeColor="text1"/>
              </w:rPr>
              <w:t xml:space="preserve"> prior year </w:t>
            </w:r>
          </w:p>
        </w:tc>
        <w:tc>
          <w:tcPr>
            <w:tcW w:w="1635" w:type="dxa"/>
            <w:vAlign w:val="bottom"/>
          </w:tcPr>
          <w:p w14:paraId="3A48C127" w14:textId="77777777" w:rsidR="007E3E45" w:rsidRPr="0071518E" w:rsidRDefault="007E3E45" w:rsidP="00B51B11">
            <w:pPr>
              <w:spacing w:after="120"/>
              <w:rPr>
                <w:rFonts w:cstheme="minorHAnsi"/>
                <w:color w:val="000000"/>
              </w:rPr>
            </w:pPr>
            <w:r w:rsidRPr="0071518E">
              <w:rPr>
                <w:rFonts w:cstheme="minorHAnsi"/>
                <w:color w:val="000000"/>
              </w:rPr>
              <w:t>3.49</w:t>
            </w:r>
          </w:p>
        </w:tc>
        <w:tc>
          <w:tcPr>
            <w:tcW w:w="1523" w:type="dxa"/>
            <w:vAlign w:val="bottom"/>
          </w:tcPr>
          <w:p w14:paraId="672A6659" w14:textId="77777777" w:rsidR="007E3E45" w:rsidRPr="0071518E" w:rsidRDefault="007E3E45" w:rsidP="00B51B11">
            <w:pPr>
              <w:spacing w:after="120"/>
              <w:rPr>
                <w:rFonts w:cstheme="minorHAnsi"/>
                <w:color w:val="000000"/>
              </w:rPr>
            </w:pPr>
          </w:p>
        </w:tc>
      </w:tr>
      <w:tr w:rsidR="007E3E45" w:rsidRPr="0071518E" w14:paraId="244626C4" w14:textId="77777777" w:rsidTr="6E4BEBA0">
        <w:tc>
          <w:tcPr>
            <w:tcW w:w="5858" w:type="dxa"/>
            <w:vAlign w:val="bottom"/>
          </w:tcPr>
          <w:p w14:paraId="487CAAF3" w14:textId="77777777" w:rsidR="007E3E45" w:rsidRPr="0071518E" w:rsidRDefault="007E3E45" w:rsidP="007E3E45">
            <w:pPr>
              <w:spacing w:after="120"/>
              <w:rPr>
                <w:rFonts w:cstheme="minorHAnsi"/>
                <w:color w:val="000000"/>
              </w:rPr>
            </w:pPr>
            <w:r w:rsidRPr="0071518E">
              <w:rPr>
                <w:rFonts w:cstheme="minorHAnsi"/>
                <w:color w:val="000000"/>
              </w:rPr>
              <w:t>Comparative balances for income and expenditure not split between restricted and unrestricted</w:t>
            </w:r>
          </w:p>
        </w:tc>
        <w:tc>
          <w:tcPr>
            <w:tcW w:w="1635" w:type="dxa"/>
            <w:vAlign w:val="bottom"/>
          </w:tcPr>
          <w:p w14:paraId="537C59C1" w14:textId="77777777" w:rsidR="007E3E45" w:rsidRPr="0071518E" w:rsidRDefault="007E3E45" w:rsidP="00B51B11">
            <w:pPr>
              <w:spacing w:after="120"/>
              <w:rPr>
                <w:rFonts w:cstheme="minorHAnsi"/>
                <w:color w:val="000000"/>
              </w:rPr>
            </w:pPr>
            <w:r w:rsidRPr="0071518E">
              <w:rPr>
                <w:rFonts w:cstheme="minorHAnsi"/>
                <w:color w:val="000000"/>
              </w:rPr>
              <w:t>3.49</w:t>
            </w:r>
          </w:p>
        </w:tc>
        <w:tc>
          <w:tcPr>
            <w:tcW w:w="1523" w:type="dxa"/>
            <w:vAlign w:val="bottom"/>
          </w:tcPr>
          <w:p w14:paraId="0EE507C3"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4696B7B8" w14:textId="77777777" w:rsidTr="6E4BEBA0">
        <w:tc>
          <w:tcPr>
            <w:tcW w:w="5858" w:type="dxa"/>
            <w:vAlign w:val="bottom"/>
          </w:tcPr>
          <w:p w14:paraId="37370F28" w14:textId="6A4FB28E" w:rsidR="007E3E45" w:rsidRPr="0071518E" w:rsidRDefault="007E3E45" w:rsidP="099F2F4D">
            <w:pPr>
              <w:spacing w:after="120"/>
              <w:rPr>
                <w:color w:val="000000"/>
              </w:rPr>
            </w:pPr>
            <w:r w:rsidRPr="099F2F4D">
              <w:rPr>
                <w:color w:val="000000" w:themeColor="text1"/>
              </w:rPr>
              <w:t xml:space="preserve">The accounts are not accompanied by an explanation of the bases and estimation techniques </w:t>
            </w:r>
            <w:r w:rsidR="28254CD7" w:rsidRPr="099F2F4D">
              <w:rPr>
                <w:color w:val="000000" w:themeColor="text1"/>
              </w:rPr>
              <w:t>used in</w:t>
            </w:r>
            <w:r w:rsidRPr="099F2F4D">
              <w:rPr>
                <w:color w:val="000000" w:themeColor="text1"/>
              </w:rPr>
              <w:t xml:space="preserve"> their preparation.</w:t>
            </w:r>
          </w:p>
        </w:tc>
        <w:tc>
          <w:tcPr>
            <w:tcW w:w="1635" w:type="dxa"/>
            <w:vAlign w:val="bottom"/>
          </w:tcPr>
          <w:p w14:paraId="3DA02F6C" w14:textId="77777777" w:rsidR="007E3E45" w:rsidRPr="0071518E" w:rsidRDefault="007E3E45" w:rsidP="00B51B11">
            <w:pPr>
              <w:spacing w:after="120"/>
              <w:rPr>
                <w:rFonts w:cstheme="minorHAnsi"/>
                <w:color w:val="000000"/>
              </w:rPr>
            </w:pPr>
            <w:r w:rsidRPr="0071518E">
              <w:rPr>
                <w:rFonts w:cstheme="minorHAnsi"/>
                <w:color w:val="000000"/>
              </w:rPr>
              <w:t>3.8</w:t>
            </w:r>
          </w:p>
        </w:tc>
        <w:tc>
          <w:tcPr>
            <w:tcW w:w="1523" w:type="dxa"/>
            <w:vAlign w:val="bottom"/>
          </w:tcPr>
          <w:p w14:paraId="1E54B3AF"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351125B4" w14:textId="77777777" w:rsidTr="6E4BEBA0">
        <w:tc>
          <w:tcPr>
            <w:tcW w:w="5858" w:type="dxa"/>
            <w:vAlign w:val="bottom"/>
          </w:tcPr>
          <w:p w14:paraId="52871CBA" w14:textId="2FBEF9EB" w:rsidR="007E3E45" w:rsidRPr="0071518E" w:rsidRDefault="007E3E45" w:rsidP="099F2F4D">
            <w:pPr>
              <w:spacing w:after="120"/>
              <w:rPr>
                <w:color w:val="000000"/>
              </w:rPr>
            </w:pPr>
            <w:r w:rsidRPr="099F2F4D">
              <w:rPr>
                <w:color w:val="000000" w:themeColor="text1"/>
              </w:rPr>
              <w:t xml:space="preserve">Going concern assessment was covered with detailed disclosure only within the Directors' </w:t>
            </w:r>
            <w:r w:rsidR="4AE66596" w:rsidRPr="099F2F4D">
              <w:rPr>
                <w:color w:val="000000" w:themeColor="text1"/>
              </w:rPr>
              <w:t>Report and</w:t>
            </w:r>
            <w:r w:rsidRPr="099F2F4D">
              <w:rPr>
                <w:color w:val="000000" w:themeColor="text1"/>
              </w:rPr>
              <w:t xml:space="preserve"> not within the Notes to the Financial </w:t>
            </w:r>
            <w:r w:rsidR="17035380" w:rsidRPr="099F2F4D">
              <w:rPr>
                <w:color w:val="000000" w:themeColor="text1"/>
              </w:rPr>
              <w:t>Statements.</w:t>
            </w:r>
          </w:p>
        </w:tc>
        <w:tc>
          <w:tcPr>
            <w:tcW w:w="1635" w:type="dxa"/>
            <w:vAlign w:val="bottom"/>
          </w:tcPr>
          <w:p w14:paraId="0E03A3D7" w14:textId="77777777" w:rsidR="007E3E45" w:rsidRPr="0071518E" w:rsidRDefault="007E3E45" w:rsidP="00B51B11">
            <w:pPr>
              <w:spacing w:after="120"/>
              <w:rPr>
                <w:rFonts w:cstheme="minorHAnsi"/>
                <w:color w:val="000000"/>
              </w:rPr>
            </w:pPr>
            <w:r w:rsidRPr="0071518E">
              <w:rPr>
                <w:rFonts w:cstheme="minorHAnsi"/>
                <w:color w:val="000000"/>
              </w:rPr>
              <w:t>3.9</w:t>
            </w:r>
          </w:p>
        </w:tc>
        <w:tc>
          <w:tcPr>
            <w:tcW w:w="1523" w:type="dxa"/>
            <w:vAlign w:val="bottom"/>
          </w:tcPr>
          <w:p w14:paraId="195C0F8C"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7844CD5F" w14:textId="77777777" w:rsidTr="6E4BEBA0">
        <w:tc>
          <w:tcPr>
            <w:tcW w:w="5858" w:type="dxa"/>
            <w:vAlign w:val="bottom"/>
          </w:tcPr>
          <w:p w14:paraId="7D43895F" w14:textId="05BB6ACB" w:rsidR="007E3E45" w:rsidRPr="0071518E" w:rsidRDefault="007E3E45" w:rsidP="099F2F4D">
            <w:pPr>
              <w:spacing w:after="120"/>
              <w:rPr>
                <w:color w:val="000000"/>
              </w:rPr>
            </w:pPr>
            <w:r w:rsidRPr="099F2F4D">
              <w:rPr>
                <w:color w:val="000000" w:themeColor="text1"/>
              </w:rPr>
              <w:t xml:space="preserve">There is limited disclosure on the split of expenditure on the relevant headings of fundraising support and or governance costs "DUE TO THE SMALL </w:t>
            </w:r>
            <w:r w:rsidR="6A7BA8FB" w:rsidRPr="099F2F4D">
              <w:rPr>
                <w:color w:val="000000" w:themeColor="text1"/>
              </w:rPr>
              <w:t>SIZE OF</w:t>
            </w:r>
            <w:r w:rsidRPr="099F2F4D">
              <w:rPr>
                <w:color w:val="000000" w:themeColor="text1"/>
              </w:rPr>
              <w:t xml:space="preserve"> THE ORGANSIATON" </w:t>
            </w:r>
          </w:p>
        </w:tc>
        <w:tc>
          <w:tcPr>
            <w:tcW w:w="1635" w:type="dxa"/>
            <w:vAlign w:val="bottom"/>
          </w:tcPr>
          <w:p w14:paraId="67D112E1" w14:textId="77777777" w:rsidR="007E3E45" w:rsidRPr="0071518E" w:rsidRDefault="007E3E45" w:rsidP="00B51B11">
            <w:pPr>
              <w:spacing w:after="120"/>
              <w:rPr>
                <w:rFonts w:cstheme="minorHAnsi"/>
                <w:color w:val="000000"/>
              </w:rPr>
            </w:pPr>
            <w:r w:rsidRPr="0071518E">
              <w:rPr>
                <w:rFonts w:cstheme="minorHAnsi"/>
                <w:color w:val="000000"/>
              </w:rPr>
              <w:t>4.2</w:t>
            </w:r>
          </w:p>
        </w:tc>
        <w:tc>
          <w:tcPr>
            <w:tcW w:w="1523" w:type="dxa"/>
            <w:vAlign w:val="bottom"/>
          </w:tcPr>
          <w:p w14:paraId="17CD62BD"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230A0012" w14:textId="77777777" w:rsidTr="6E4BEBA0">
        <w:tc>
          <w:tcPr>
            <w:tcW w:w="5858" w:type="dxa"/>
            <w:vAlign w:val="bottom"/>
          </w:tcPr>
          <w:p w14:paraId="412FE76D" w14:textId="0CAE7C00" w:rsidR="007E3E45" w:rsidRPr="0071518E" w:rsidRDefault="007E3E45" w:rsidP="007E3E45">
            <w:pPr>
              <w:spacing w:after="120"/>
              <w:rPr>
                <w:rFonts w:cstheme="minorHAnsi"/>
                <w:color w:val="000000"/>
              </w:rPr>
            </w:pPr>
            <w:r w:rsidRPr="0071518E">
              <w:rPr>
                <w:rFonts w:cstheme="minorHAnsi"/>
                <w:color w:val="000000"/>
              </w:rPr>
              <w:t xml:space="preserve">Accounting policy on Revenue grants states that grant income is deferred to ensure the income is recognised in the same period of the related expenditure. </w:t>
            </w:r>
            <w:r w:rsidR="00A92A6D">
              <w:rPr>
                <w:rFonts w:cstheme="minorHAnsi"/>
                <w:color w:val="000000"/>
              </w:rPr>
              <w:t>This</w:t>
            </w:r>
            <w:r w:rsidRPr="0071518E">
              <w:rPr>
                <w:rFonts w:cstheme="minorHAnsi"/>
                <w:color w:val="000000"/>
              </w:rPr>
              <w:t xml:space="preserve"> matching principle is not allowed per SORP. </w:t>
            </w:r>
          </w:p>
        </w:tc>
        <w:tc>
          <w:tcPr>
            <w:tcW w:w="1635" w:type="dxa"/>
            <w:vAlign w:val="bottom"/>
          </w:tcPr>
          <w:p w14:paraId="27882175" w14:textId="77777777" w:rsidR="007E3E45" w:rsidRPr="0071518E" w:rsidRDefault="007E3E45" w:rsidP="00B51B11">
            <w:pPr>
              <w:spacing w:after="120"/>
              <w:rPr>
                <w:rFonts w:cstheme="minorHAnsi"/>
                <w:color w:val="000000"/>
              </w:rPr>
            </w:pPr>
            <w:r w:rsidRPr="0071518E">
              <w:rPr>
                <w:rFonts w:cstheme="minorHAnsi"/>
                <w:color w:val="000000"/>
              </w:rPr>
              <w:t>4.33</w:t>
            </w:r>
          </w:p>
        </w:tc>
        <w:tc>
          <w:tcPr>
            <w:tcW w:w="1523" w:type="dxa"/>
            <w:vAlign w:val="bottom"/>
          </w:tcPr>
          <w:p w14:paraId="2279A6AB"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22429DF8" w14:textId="77777777" w:rsidTr="6E4BEBA0">
        <w:tc>
          <w:tcPr>
            <w:tcW w:w="5858" w:type="dxa"/>
            <w:vAlign w:val="bottom"/>
          </w:tcPr>
          <w:p w14:paraId="1A368DBD" w14:textId="77777777" w:rsidR="007E3E45" w:rsidRPr="0071518E" w:rsidRDefault="007E3E45" w:rsidP="007E3E45">
            <w:pPr>
              <w:spacing w:after="120"/>
              <w:rPr>
                <w:rFonts w:cstheme="minorHAnsi"/>
                <w:color w:val="000000"/>
              </w:rPr>
            </w:pPr>
            <w:r w:rsidRPr="0071518E">
              <w:rPr>
                <w:rFonts w:cstheme="minorHAnsi"/>
                <w:color w:val="000000"/>
              </w:rPr>
              <w:t xml:space="preserve"> No accounting policy disclosure related to Other Trading Activities.</w:t>
            </w:r>
          </w:p>
        </w:tc>
        <w:tc>
          <w:tcPr>
            <w:tcW w:w="1635" w:type="dxa"/>
            <w:vAlign w:val="bottom"/>
          </w:tcPr>
          <w:p w14:paraId="2091C935" w14:textId="77777777" w:rsidR="007E3E45" w:rsidRPr="0071518E" w:rsidRDefault="007E3E45" w:rsidP="00B51B11">
            <w:pPr>
              <w:spacing w:after="120"/>
              <w:rPr>
                <w:rFonts w:cstheme="minorHAnsi"/>
                <w:color w:val="000000"/>
              </w:rPr>
            </w:pPr>
            <w:r w:rsidRPr="0071518E">
              <w:rPr>
                <w:rFonts w:cstheme="minorHAnsi"/>
                <w:color w:val="000000"/>
              </w:rPr>
              <w:t>4.36</w:t>
            </w:r>
          </w:p>
        </w:tc>
        <w:tc>
          <w:tcPr>
            <w:tcW w:w="1523" w:type="dxa"/>
            <w:vAlign w:val="bottom"/>
          </w:tcPr>
          <w:p w14:paraId="3430611E"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385098D4" w14:textId="77777777" w:rsidTr="6E4BEBA0">
        <w:tc>
          <w:tcPr>
            <w:tcW w:w="5858" w:type="dxa"/>
            <w:vAlign w:val="bottom"/>
          </w:tcPr>
          <w:p w14:paraId="7E7219FB" w14:textId="0BC694D7" w:rsidR="007E3E45" w:rsidRPr="0071518E" w:rsidRDefault="007E3E45" w:rsidP="099F2F4D">
            <w:pPr>
              <w:spacing w:after="120"/>
              <w:rPr>
                <w:color w:val="000000"/>
              </w:rPr>
            </w:pPr>
            <w:r w:rsidRPr="099F2F4D">
              <w:rPr>
                <w:color w:val="000000" w:themeColor="text1"/>
              </w:rPr>
              <w:t xml:space="preserve">Notes only include a reference to GSO Programme charge. However, accounting policy does </w:t>
            </w:r>
            <w:r w:rsidR="07CB56CB" w:rsidRPr="099F2F4D">
              <w:rPr>
                <w:color w:val="000000" w:themeColor="text1"/>
              </w:rPr>
              <w:t>not specifically</w:t>
            </w:r>
            <w:r w:rsidRPr="099F2F4D">
              <w:rPr>
                <w:color w:val="000000" w:themeColor="text1"/>
              </w:rPr>
              <w:t xml:space="preserve"> disclose the nature of this charge.</w:t>
            </w:r>
          </w:p>
        </w:tc>
        <w:tc>
          <w:tcPr>
            <w:tcW w:w="1635" w:type="dxa"/>
            <w:vAlign w:val="bottom"/>
          </w:tcPr>
          <w:p w14:paraId="28C84685" w14:textId="77777777" w:rsidR="007E3E45" w:rsidRPr="0071518E" w:rsidRDefault="007E3E45" w:rsidP="00B51B11">
            <w:pPr>
              <w:spacing w:after="120"/>
              <w:rPr>
                <w:rFonts w:cstheme="minorHAnsi"/>
                <w:color w:val="000000"/>
              </w:rPr>
            </w:pPr>
            <w:r w:rsidRPr="0071518E">
              <w:rPr>
                <w:rFonts w:cstheme="minorHAnsi"/>
                <w:color w:val="000000"/>
              </w:rPr>
              <w:t>4.41</w:t>
            </w:r>
          </w:p>
        </w:tc>
        <w:tc>
          <w:tcPr>
            <w:tcW w:w="1523" w:type="dxa"/>
            <w:vAlign w:val="bottom"/>
          </w:tcPr>
          <w:p w14:paraId="0BA5B0D8"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22C6FDA5" w14:textId="77777777" w:rsidTr="6E4BEBA0">
        <w:tc>
          <w:tcPr>
            <w:tcW w:w="5858" w:type="dxa"/>
            <w:vAlign w:val="bottom"/>
          </w:tcPr>
          <w:p w14:paraId="7CBBA690" w14:textId="77777777" w:rsidR="007E3E45" w:rsidRPr="0071518E" w:rsidRDefault="007E3E45" w:rsidP="007E3E45">
            <w:pPr>
              <w:spacing w:after="120"/>
              <w:rPr>
                <w:rFonts w:cstheme="minorHAnsi"/>
                <w:color w:val="000000"/>
              </w:rPr>
            </w:pPr>
            <w:r w:rsidRPr="0071518E">
              <w:rPr>
                <w:rFonts w:cstheme="minorHAnsi"/>
                <w:color w:val="000000"/>
              </w:rPr>
              <w:t>There is no disclosure per notes to Financial Statements on the nature of other income for Financial Year 2023 amount</w:t>
            </w:r>
          </w:p>
        </w:tc>
        <w:tc>
          <w:tcPr>
            <w:tcW w:w="1635" w:type="dxa"/>
            <w:vAlign w:val="bottom"/>
          </w:tcPr>
          <w:p w14:paraId="6F2149BD" w14:textId="77777777" w:rsidR="007E3E45" w:rsidRPr="0071518E" w:rsidRDefault="007E3E45" w:rsidP="00B51B11">
            <w:pPr>
              <w:spacing w:after="120"/>
              <w:rPr>
                <w:rFonts w:cstheme="minorHAnsi"/>
                <w:color w:val="000000"/>
              </w:rPr>
            </w:pPr>
            <w:r w:rsidRPr="0071518E">
              <w:rPr>
                <w:rFonts w:cstheme="minorHAnsi"/>
                <w:color w:val="000000"/>
              </w:rPr>
              <w:t>4.42</w:t>
            </w:r>
          </w:p>
        </w:tc>
        <w:tc>
          <w:tcPr>
            <w:tcW w:w="1523" w:type="dxa"/>
            <w:vAlign w:val="bottom"/>
          </w:tcPr>
          <w:p w14:paraId="2581E080"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1685270A" w14:textId="77777777" w:rsidTr="6E4BEBA0">
        <w:tc>
          <w:tcPr>
            <w:tcW w:w="5858" w:type="dxa"/>
            <w:vAlign w:val="bottom"/>
          </w:tcPr>
          <w:p w14:paraId="107EC0FE" w14:textId="77777777" w:rsidR="0071518E" w:rsidRDefault="007E3E45" w:rsidP="0071518E">
            <w:pPr>
              <w:rPr>
                <w:rFonts w:cstheme="minorHAnsi"/>
                <w:color w:val="000000"/>
              </w:rPr>
            </w:pPr>
            <w:r w:rsidRPr="0071518E">
              <w:rPr>
                <w:rFonts w:cstheme="minorHAnsi"/>
                <w:color w:val="000000"/>
              </w:rPr>
              <w:t xml:space="preserve">Sources of income A charity </w:t>
            </w:r>
            <w:r w:rsidR="0071518E" w:rsidRPr="0071518E">
              <w:rPr>
                <w:rFonts w:cstheme="minorHAnsi"/>
                <w:color w:val="000000"/>
              </w:rPr>
              <w:t>MUST</w:t>
            </w:r>
            <w:r w:rsidRPr="0071518E">
              <w:rPr>
                <w:rFonts w:cstheme="minorHAnsi"/>
                <w:color w:val="000000"/>
              </w:rPr>
              <w:t xml:space="preserve"> provide an analysis (unless shown on the face of the </w:t>
            </w:r>
            <w:proofErr w:type="spellStart"/>
            <w:r w:rsidRPr="0071518E">
              <w:rPr>
                <w:rFonts w:cstheme="minorHAnsi"/>
                <w:color w:val="000000"/>
              </w:rPr>
              <w:t>SoFA</w:t>
            </w:r>
            <w:proofErr w:type="spellEnd"/>
            <w:r w:rsidRPr="0071518E">
              <w:rPr>
                <w:rFonts w:cstheme="minorHAnsi"/>
                <w:color w:val="000000"/>
              </w:rPr>
              <w:t xml:space="preserve">) of the material components of income within each sub-heading in the </w:t>
            </w:r>
            <w:proofErr w:type="spellStart"/>
            <w:r w:rsidRPr="0071518E">
              <w:rPr>
                <w:rFonts w:cstheme="minorHAnsi"/>
                <w:color w:val="000000"/>
              </w:rPr>
              <w:t>SoFA</w:t>
            </w:r>
            <w:proofErr w:type="spellEnd"/>
            <w:r w:rsidRPr="0071518E">
              <w:rPr>
                <w:rFonts w:cstheme="minorHAnsi"/>
                <w:color w:val="000000"/>
              </w:rPr>
              <w:t xml:space="preserve">, aggregating similar activities/sources to distinguish: </w:t>
            </w:r>
            <w:r w:rsidRPr="0071518E">
              <w:rPr>
                <w:rFonts w:cstheme="minorHAnsi"/>
                <w:color w:val="000000"/>
              </w:rPr>
              <w:br/>
              <w:t xml:space="preserve">• for donations &amp; legacies – the type of gift – e.g., donations; grants of a general nature; legacies </w:t>
            </w:r>
            <w:r w:rsidRPr="0071518E">
              <w:rPr>
                <w:rFonts w:cstheme="minorHAnsi"/>
                <w:color w:val="000000"/>
              </w:rPr>
              <w:br/>
              <w:t xml:space="preserve">• for charitable activities – the nature of activity and of the associated income </w:t>
            </w:r>
            <w:r w:rsidRPr="0071518E">
              <w:rPr>
                <w:rFonts w:cstheme="minorHAnsi"/>
                <w:color w:val="000000"/>
              </w:rPr>
              <w:br/>
              <w:t xml:space="preserve">• for other trading activities – the nature of the trading or fundraising activity and income produced </w:t>
            </w:r>
            <w:r w:rsidRPr="0071518E">
              <w:rPr>
                <w:rFonts w:cstheme="minorHAnsi"/>
                <w:color w:val="000000"/>
              </w:rPr>
              <w:br/>
            </w:r>
          </w:p>
          <w:p w14:paraId="69567ABF" w14:textId="517F8861" w:rsidR="007E3E45" w:rsidRPr="0071518E" w:rsidRDefault="007E3E45" w:rsidP="099F2F4D">
            <w:pPr>
              <w:spacing w:after="120"/>
              <w:rPr>
                <w:color w:val="000000"/>
              </w:rPr>
            </w:pPr>
            <w:r w:rsidRPr="099F2F4D">
              <w:rPr>
                <w:color w:val="000000" w:themeColor="text1"/>
              </w:rPr>
              <w:t xml:space="preserve">The organisation </w:t>
            </w:r>
            <w:r w:rsidR="4ADC2A37" w:rsidRPr="099F2F4D">
              <w:rPr>
                <w:color w:val="000000" w:themeColor="text1"/>
              </w:rPr>
              <w:t>notes</w:t>
            </w:r>
            <w:r w:rsidRPr="099F2F4D">
              <w:rPr>
                <w:color w:val="000000" w:themeColor="text1"/>
              </w:rPr>
              <w:t xml:space="preserve"> 4.2 'Other trading activities' has very little commentary on the activities, what type of activities and how ties out to stock, if at all. Also, no reference to 'Other Income' in Income policy (over 100k EUR in Current Year so sizeable)</w:t>
            </w:r>
          </w:p>
        </w:tc>
        <w:tc>
          <w:tcPr>
            <w:tcW w:w="1635" w:type="dxa"/>
            <w:vAlign w:val="bottom"/>
          </w:tcPr>
          <w:p w14:paraId="4E22001A" w14:textId="77777777" w:rsidR="007E3E45" w:rsidRPr="0071518E" w:rsidRDefault="007E3E45" w:rsidP="00B51B11">
            <w:pPr>
              <w:spacing w:after="120"/>
              <w:rPr>
                <w:rFonts w:cstheme="minorHAnsi"/>
                <w:color w:val="000000"/>
              </w:rPr>
            </w:pPr>
            <w:r w:rsidRPr="0071518E">
              <w:rPr>
                <w:rFonts w:cstheme="minorHAnsi"/>
                <w:color w:val="000000"/>
              </w:rPr>
              <w:t>4.42</w:t>
            </w:r>
          </w:p>
        </w:tc>
        <w:tc>
          <w:tcPr>
            <w:tcW w:w="1523" w:type="dxa"/>
            <w:vAlign w:val="bottom"/>
          </w:tcPr>
          <w:p w14:paraId="346B6730"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7564610C" w14:textId="77777777" w:rsidTr="6E4BEBA0">
        <w:tc>
          <w:tcPr>
            <w:tcW w:w="5858" w:type="dxa"/>
            <w:vAlign w:val="bottom"/>
          </w:tcPr>
          <w:p w14:paraId="6C02F380" w14:textId="49C498DC" w:rsidR="007E3E45" w:rsidRPr="0071518E" w:rsidRDefault="007E3E45" w:rsidP="099F2F4D">
            <w:pPr>
              <w:spacing w:after="120"/>
              <w:rPr>
                <w:color w:val="000000"/>
              </w:rPr>
            </w:pPr>
            <w:r w:rsidRPr="099F2F4D">
              <w:rPr>
                <w:color w:val="000000" w:themeColor="text1"/>
              </w:rPr>
              <w:t xml:space="preserve">There is a disclosure on donations and charitable activities which was presented </w:t>
            </w:r>
            <w:r w:rsidR="00A92A6D">
              <w:rPr>
                <w:color w:val="000000" w:themeColor="text1"/>
              </w:rPr>
              <w:t xml:space="preserve">per </w:t>
            </w:r>
            <w:r w:rsidRPr="099F2F4D">
              <w:rPr>
                <w:color w:val="000000" w:themeColor="text1"/>
              </w:rPr>
              <w:t>programme.  However, it would be better if disclosed per material components of the SOFA (</w:t>
            </w:r>
            <w:proofErr w:type="gramStart"/>
            <w:r w:rsidRPr="099F2F4D">
              <w:rPr>
                <w:color w:val="000000" w:themeColor="text1"/>
              </w:rPr>
              <w:t>i.e.</w:t>
            </w:r>
            <w:proofErr w:type="gramEnd"/>
            <w:r w:rsidRPr="099F2F4D">
              <w:rPr>
                <w:color w:val="000000" w:themeColor="text1"/>
              </w:rPr>
              <w:t xml:space="preserve"> either </w:t>
            </w:r>
            <w:r w:rsidR="753DD1E5" w:rsidRPr="099F2F4D">
              <w:rPr>
                <w:color w:val="000000" w:themeColor="text1"/>
              </w:rPr>
              <w:t>classified as</w:t>
            </w:r>
            <w:r w:rsidRPr="099F2F4D">
              <w:rPr>
                <w:color w:val="000000" w:themeColor="text1"/>
              </w:rPr>
              <w:t xml:space="preserve"> Donations or Charitable Activities, etc.) or same with Previous Year presentation</w:t>
            </w:r>
            <w:r w:rsidR="00A92A6D">
              <w:rPr>
                <w:color w:val="000000" w:themeColor="text1"/>
              </w:rPr>
              <w:t xml:space="preserve"> (or if programme </w:t>
            </w:r>
            <w:r w:rsidR="00A92A6D">
              <w:rPr>
                <w:color w:val="000000" w:themeColor="text1"/>
              </w:rPr>
              <w:lastRenderedPageBreak/>
              <w:t>analysis more meaningful then a reconciliation between this analysis and what is presented in SOFA)</w:t>
            </w:r>
          </w:p>
        </w:tc>
        <w:tc>
          <w:tcPr>
            <w:tcW w:w="1635" w:type="dxa"/>
            <w:vAlign w:val="bottom"/>
          </w:tcPr>
          <w:p w14:paraId="6D2F11B0" w14:textId="77777777" w:rsidR="007E3E45" w:rsidRPr="0071518E" w:rsidRDefault="007E3E45" w:rsidP="00B51B11">
            <w:pPr>
              <w:spacing w:after="120"/>
              <w:rPr>
                <w:rFonts w:cstheme="minorHAnsi"/>
                <w:color w:val="000000"/>
              </w:rPr>
            </w:pPr>
            <w:r w:rsidRPr="0071518E">
              <w:rPr>
                <w:rFonts w:cstheme="minorHAnsi"/>
                <w:color w:val="000000"/>
              </w:rPr>
              <w:lastRenderedPageBreak/>
              <w:t>4.42</w:t>
            </w:r>
          </w:p>
        </w:tc>
        <w:tc>
          <w:tcPr>
            <w:tcW w:w="1523" w:type="dxa"/>
            <w:vAlign w:val="bottom"/>
          </w:tcPr>
          <w:p w14:paraId="6E44A837"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7BA6A261" w14:textId="77777777" w:rsidTr="6E4BEBA0">
        <w:tc>
          <w:tcPr>
            <w:tcW w:w="5858" w:type="dxa"/>
            <w:vAlign w:val="bottom"/>
          </w:tcPr>
          <w:p w14:paraId="116AF670" w14:textId="77777777" w:rsidR="007E3E45" w:rsidRPr="0071518E" w:rsidRDefault="007E3E45" w:rsidP="007E3E45">
            <w:pPr>
              <w:spacing w:after="120"/>
              <w:rPr>
                <w:rFonts w:cstheme="minorHAnsi"/>
                <w:color w:val="000000"/>
              </w:rPr>
            </w:pPr>
            <w:r w:rsidRPr="0071518E">
              <w:rPr>
                <w:rFonts w:cstheme="minorHAnsi"/>
                <w:color w:val="000000"/>
              </w:rPr>
              <w:t>There is no detailed disclosure under Directors Report on the analysis of charitable activities.  Amounts were not disclosed and compared to the financial statements.</w:t>
            </w:r>
          </w:p>
        </w:tc>
        <w:tc>
          <w:tcPr>
            <w:tcW w:w="1635" w:type="dxa"/>
            <w:vAlign w:val="bottom"/>
          </w:tcPr>
          <w:p w14:paraId="150A2750" w14:textId="77777777" w:rsidR="007E3E45" w:rsidRPr="0071518E" w:rsidRDefault="007E3E45" w:rsidP="00B51B11">
            <w:pPr>
              <w:spacing w:after="120"/>
              <w:rPr>
                <w:rFonts w:cstheme="minorHAnsi"/>
                <w:color w:val="000000"/>
              </w:rPr>
            </w:pPr>
            <w:r w:rsidRPr="0071518E">
              <w:rPr>
                <w:rFonts w:cstheme="minorHAnsi"/>
                <w:color w:val="000000"/>
              </w:rPr>
              <w:t>4.53</w:t>
            </w:r>
          </w:p>
        </w:tc>
        <w:tc>
          <w:tcPr>
            <w:tcW w:w="1523" w:type="dxa"/>
            <w:vAlign w:val="bottom"/>
          </w:tcPr>
          <w:p w14:paraId="3F35FF2C"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1339070B" w14:textId="77777777" w:rsidTr="6E4BEBA0">
        <w:tc>
          <w:tcPr>
            <w:tcW w:w="5858" w:type="dxa"/>
            <w:vAlign w:val="bottom"/>
          </w:tcPr>
          <w:p w14:paraId="01284886" w14:textId="60FA7D89" w:rsidR="007E3E45" w:rsidRPr="0071518E" w:rsidRDefault="007E3E45" w:rsidP="099F2F4D">
            <w:pPr>
              <w:spacing w:after="120"/>
              <w:rPr>
                <w:color w:val="000000"/>
              </w:rPr>
            </w:pPr>
            <w:r w:rsidRPr="099F2F4D">
              <w:rPr>
                <w:color w:val="000000" w:themeColor="text1"/>
              </w:rPr>
              <w:t xml:space="preserve">Only the total amount of Charitable Donations was disclosed in note 6. Furthermore, </w:t>
            </w:r>
            <w:r w:rsidR="7DBF0DA0" w:rsidRPr="099F2F4D">
              <w:rPr>
                <w:color w:val="000000" w:themeColor="text1"/>
              </w:rPr>
              <w:t>note</w:t>
            </w:r>
            <w:r w:rsidRPr="099F2F4D">
              <w:rPr>
                <w:color w:val="000000" w:themeColor="text1"/>
              </w:rPr>
              <w:t xml:space="preserve"> 8</w:t>
            </w:r>
            <w:r w:rsidR="0071518E" w:rsidRPr="099F2F4D">
              <w:rPr>
                <w:color w:val="000000" w:themeColor="text1"/>
              </w:rPr>
              <w:t>,</w:t>
            </w:r>
            <w:r w:rsidRPr="099F2F4D">
              <w:rPr>
                <w:color w:val="000000" w:themeColor="text1"/>
              </w:rPr>
              <w:t xml:space="preserve"> there is no disclosure on the total amount of cost of grant funding to third parties. No detailed analysis </w:t>
            </w:r>
            <w:r w:rsidR="674868A4" w:rsidRPr="099F2F4D">
              <w:rPr>
                <w:color w:val="000000" w:themeColor="text1"/>
              </w:rPr>
              <w:t>on the</w:t>
            </w:r>
            <w:r w:rsidRPr="099F2F4D">
              <w:rPr>
                <w:color w:val="000000" w:themeColor="text1"/>
              </w:rPr>
              <w:t xml:space="preserve"> grants</w:t>
            </w:r>
          </w:p>
        </w:tc>
        <w:tc>
          <w:tcPr>
            <w:tcW w:w="1635" w:type="dxa"/>
            <w:vAlign w:val="bottom"/>
          </w:tcPr>
          <w:p w14:paraId="3D3AD627" w14:textId="77777777" w:rsidR="007E3E45" w:rsidRPr="0071518E" w:rsidRDefault="007E3E45" w:rsidP="00B51B11">
            <w:pPr>
              <w:spacing w:after="120"/>
              <w:rPr>
                <w:rFonts w:cstheme="minorHAnsi"/>
                <w:color w:val="000000"/>
              </w:rPr>
            </w:pPr>
            <w:r w:rsidRPr="0071518E">
              <w:rPr>
                <w:rFonts w:cstheme="minorHAnsi"/>
                <w:color w:val="000000"/>
              </w:rPr>
              <w:t>4.58</w:t>
            </w:r>
          </w:p>
        </w:tc>
        <w:tc>
          <w:tcPr>
            <w:tcW w:w="1523" w:type="dxa"/>
            <w:vAlign w:val="bottom"/>
          </w:tcPr>
          <w:p w14:paraId="62FF9492"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36BDB28" w14:textId="77777777" w:rsidTr="6E4BEBA0">
        <w:tc>
          <w:tcPr>
            <w:tcW w:w="5858" w:type="dxa"/>
            <w:vAlign w:val="bottom"/>
          </w:tcPr>
          <w:p w14:paraId="791D84BA" w14:textId="77777777" w:rsidR="007E3E45" w:rsidRPr="0071518E" w:rsidRDefault="007E3E45" w:rsidP="007E3E45">
            <w:pPr>
              <w:spacing w:after="120"/>
              <w:rPr>
                <w:rFonts w:cstheme="minorHAnsi"/>
                <w:color w:val="000000"/>
              </w:rPr>
            </w:pPr>
            <w:r w:rsidRPr="0071518E">
              <w:rPr>
                <w:rFonts w:cstheme="minorHAnsi"/>
                <w:color w:val="000000"/>
              </w:rPr>
              <w:t>The financial statements do not confirm whether there are any unfulfilled conditions or other contingencies attaching to grants that have been recognised in income</w:t>
            </w:r>
          </w:p>
        </w:tc>
        <w:tc>
          <w:tcPr>
            <w:tcW w:w="1635" w:type="dxa"/>
            <w:vAlign w:val="bottom"/>
          </w:tcPr>
          <w:p w14:paraId="1A0FE6F3" w14:textId="77777777" w:rsidR="007E3E45" w:rsidRPr="0071518E" w:rsidRDefault="007E3E45" w:rsidP="00B51B11">
            <w:pPr>
              <w:spacing w:after="120"/>
              <w:rPr>
                <w:rFonts w:cstheme="minorHAnsi"/>
                <w:color w:val="000000"/>
              </w:rPr>
            </w:pPr>
            <w:r w:rsidRPr="0071518E">
              <w:rPr>
                <w:rFonts w:cstheme="minorHAnsi"/>
                <w:color w:val="000000"/>
              </w:rPr>
              <w:t>5.58</w:t>
            </w:r>
          </w:p>
        </w:tc>
        <w:tc>
          <w:tcPr>
            <w:tcW w:w="1523" w:type="dxa"/>
            <w:vAlign w:val="bottom"/>
          </w:tcPr>
          <w:p w14:paraId="47DCB550"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77DC42C3" w14:textId="77777777" w:rsidTr="6E4BEBA0">
        <w:tc>
          <w:tcPr>
            <w:tcW w:w="5858" w:type="dxa"/>
            <w:vAlign w:val="bottom"/>
          </w:tcPr>
          <w:p w14:paraId="605E661A" w14:textId="120DD1E2" w:rsidR="007E3E45" w:rsidRPr="0071518E" w:rsidRDefault="007E3E45" w:rsidP="099F2F4D">
            <w:pPr>
              <w:spacing w:after="120"/>
              <w:rPr>
                <w:color w:val="000000"/>
              </w:rPr>
            </w:pPr>
            <w:r w:rsidRPr="099F2F4D">
              <w:rPr>
                <w:color w:val="000000" w:themeColor="text1"/>
              </w:rPr>
              <w:t xml:space="preserve">When a charity has deferred income, the notes to the accounts </w:t>
            </w:r>
            <w:r w:rsidR="0071518E" w:rsidRPr="099F2F4D">
              <w:rPr>
                <w:color w:val="000000" w:themeColor="text1"/>
              </w:rPr>
              <w:t>MUST</w:t>
            </w:r>
            <w:r w:rsidRPr="099F2F4D">
              <w:rPr>
                <w:color w:val="000000" w:themeColor="text1"/>
              </w:rPr>
              <w:t xml:space="preserve"> explain the reasons why income is deferred and </w:t>
            </w:r>
            <w:r w:rsidR="0894C475" w:rsidRPr="099F2F4D">
              <w:rPr>
                <w:color w:val="000000" w:themeColor="text1"/>
              </w:rPr>
              <w:t>should</w:t>
            </w:r>
            <w:r w:rsidRPr="099F2F4D">
              <w:rPr>
                <w:color w:val="000000" w:themeColor="text1"/>
              </w:rPr>
              <w:t xml:space="preserve"> analyse the movement on the deferred income account, identifying income deferred in the current year and the amounts released from previous reporting periods.</w:t>
            </w:r>
          </w:p>
        </w:tc>
        <w:tc>
          <w:tcPr>
            <w:tcW w:w="1635" w:type="dxa"/>
            <w:vAlign w:val="bottom"/>
          </w:tcPr>
          <w:p w14:paraId="10C3166A" w14:textId="77777777" w:rsidR="007E3E45" w:rsidRPr="0071518E" w:rsidRDefault="007E3E45" w:rsidP="00B51B11">
            <w:pPr>
              <w:spacing w:after="120"/>
              <w:rPr>
                <w:rFonts w:cstheme="minorHAnsi"/>
                <w:color w:val="000000"/>
              </w:rPr>
            </w:pPr>
            <w:r w:rsidRPr="0071518E">
              <w:rPr>
                <w:rFonts w:cstheme="minorHAnsi"/>
                <w:color w:val="000000"/>
              </w:rPr>
              <w:t>5.59</w:t>
            </w:r>
          </w:p>
        </w:tc>
        <w:tc>
          <w:tcPr>
            <w:tcW w:w="1523" w:type="dxa"/>
            <w:vAlign w:val="bottom"/>
          </w:tcPr>
          <w:p w14:paraId="5E99A516"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757DC696" w14:textId="77777777" w:rsidTr="6E4BEBA0">
        <w:tc>
          <w:tcPr>
            <w:tcW w:w="5858" w:type="dxa"/>
            <w:vAlign w:val="bottom"/>
          </w:tcPr>
          <w:p w14:paraId="637B1E9B" w14:textId="77777777" w:rsidR="007E3E45" w:rsidRPr="0071518E" w:rsidRDefault="007E3E45" w:rsidP="007E3E45">
            <w:pPr>
              <w:spacing w:after="120"/>
              <w:rPr>
                <w:rFonts w:cstheme="minorHAnsi"/>
                <w:color w:val="000000"/>
              </w:rPr>
            </w:pPr>
            <w:r w:rsidRPr="0071518E">
              <w:rPr>
                <w:rFonts w:cstheme="minorHAnsi"/>
                <w:color w:val="000000"/>
              </w:rPr>
              <w:t>While the charity has deferred income, the notes to the financial statements do not explain the reasons why income is deferred and does not analyse the movement on the deferred income account, identify income deferred in the current year and the amounts released from previous reporting periods.</w:t>
            </w:r>
          </w:p>
        </w:tc>
        <w:tc>
          <w:tcPr>
            <w:tcW w:w="1635" w:type="dxa"/>
            <w:vAlign w:val="bottom"/>
          </w:tcPr>
          <w:p w14:paraId="6C78F3B3" w14:textId="77777777" w:rsidR="007E3E45" w:rsidRPr="0071518E" w:rsidRDefault="007E3E45" w:rsidP="00B51B11">
            <w:pPr>
              <w:spacing w:after="120"/>
              <w:rPr>
                <w:rFonts w:cstheme="minorHAnsi"/>
                <w:color w:val="000000"/>
              </w:rPr>
            </w:pPr>
            <w:r w:rsidRPr="0071518E">
              <w:rPr>
                <w:rFonts w:cstheme="minorHAnsi"/>
                <w:color w:val="000000"/>
              </w:rPr>
              <w:t>5.59</w:t>
            </w:r>
          </w:p>
        </w:tc>
        <w:tc>
          <w:tcPr>
            <w:tcW w:w="1523" w:type="dxa"/>
            <w:vAlign w:val="bottom"/>
          </w:tcPr>
          <w:p w14:paraId="5FBCFD8C"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1D7B37C9" w14:textId="77777777" w:rsidTr="6E4BEBA0">
        <w:tc>
          <w:tcPr>
            <w:tcW w:w="5858" w:type="dxa"/>
            <w:vAlign w:val="bottom"/>
          </w:tcPr>
          <w:p w14:paraId="3BE4E5F3" w14:textId="77777777" w:rsidR="007E3E45" w:rsidRPr="0071518E" w:rsidRDefault="007E3E45" w:rsidP="007E3E45">
            <w:pPr>
              <w:spacing w:after="120"/>
              <w:rPr>
                <w:rFonts w:cstheme="minorHAnsi"/>
                <w:color w:val="000000"/>
              </w:rPr>
            </w:pPr>
            <w:r w:rsidRPr="0071518E">
              <w:rPr>
                <w:rFonts w:cstheme="minorHAnsi"/>
                <w:color w:val="000000"/>
              </w:rPr>
              <w:t>A description of the role played by general volunteers is not included in the financial statements and there is no indication of the nature of volunteer's contribution.</w:t>
            </w:r>
          </w:p>
        </w:tc>
        <w:tc>
          <w:tcPr>
            <w:tcW w:w="1635" w:type="dxa"/>
            <w:vAlign w:val="bottom"/>
          </w:tcPr>
          <w:p w14:paraId="048F993B" w14:textId="77777777" w:rsidR="007E3E45" w:rsidRPr="0071518E" w:rsidRDefault="007E3E45" w:rsidP="00B51B11">
            <w:pPr>
              <w:spacing w:after="120"/>
              <w:rPr>
                <w:rFonts w:cstheme="minorHAnsi"/>
                <w:color w:val="000000"/>
              </w:rPr>
            </w:pPr>
            <w:r w:rsidRPr="0071518E">
              <w:rPr>
                <w:rFonts w:cstheme="minorHAnsi"/>
                <w:color w:val="000000"/>
              </w:rPr>
              <w:t>6.19</w:t>
            </w:r>
          </w:p>
        </w:tc>
        <w:tc>
          <w:tcPr>
            <w:tcW w:w="1523" w:type="dxa"/>
            <w:vAlign w:val="bottom"/>
          </w:tcPr>
          <w:p w14:paraId="7C00942B"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341716A0" w14:textId="77777777" w:rsidTr="6E4BEBA0">
        <w:tc>
          <w:tcPr>
            <w:tcW w:w="5858" w:type="dxa"/>
            <w:vAlign w:val="bottom"/>
          </w:tcPr>
          <w:p w14:paraId="1163CBF9" w14:textId="6A343B5C" w:rsidR="007E3E45" w:rsidRPr="0071518E" w:rsidRDefault="007E3E45" w:rsidP="099F2F4D">
            <w:pPr>
              <w:spacing w:after="120"/>
              <w:rPr>
                <w:color w:val="000000"/>
              </w:rPr>
            </w:pPr>
            <w:r w:rsidRPr="099F2F4D">
              <w:rPr>
                <w:color w:val="000000" w:themeColor="text1"/>
              </w:rPr>
              <w:t xml:space="preserve">The organisation does not have a 'Donated goods and services policy'. But have 'Stock on hand' (EUR 6k) and </w:t>
            </w:r>
            <w:r w:rsidR="541606FA" w:rsidRPr="099F2F4D">
              <w:rPr>
                <w:color w:val="000000" w:themeColor="text1"/>
              </w:rPr>
              <w:t>refer</w:t>
            </w:r>
            <w:r w:rsidRPr="099F2F4D">
              <w:rPr>
                <w:color w:val="000000" w:themeColor="text1"/>
              </w:rPr>
              <w:t xml:space="preserve"> to "it is not considered practicable to value inventories of unsold donated goods at the financial year end."</w:t>
            </w:r>
          </w:p>
        </w:tc>
        <w:tc>
          <w:tcPr>
            <w:tcW w:w="1635" w:type="dxa"/>
            <w:vAlign w:val="bottom"/>
          </w:tcPr>
          <w:p w14:paraId="14E27CCE" w14:textId="77777777" w:rsidR="007E3E45" w:rsidRPr="0071518E" w:rsidRDefault="007E3E45" w:rsidP="00B51B11">
            <w:pPr>
              <w:spacing w:after="120"/>
              <w:rPr>
                <w:rFonts w:cstheme="minorHAnsi"/>
                <w:color w:val="000000"/>
              </w:rPr>
            </w:pPr>
            <w:r w:rsidRPr="0071518E">
              <w:rPr>
                <w:rFonts w:cstheme="minorHAnsi"/>
                <w:color w:val="000000"/>
              </w:rPr>
              <w:t>6.31</w:t>
            </w:r>
          </w:p>
        </w:tc>
        <w:tc>
          <w:tcPr>
            <w:tcW w:w="1523" w:type="dxa"/>
            <w:vAlign w:val="bottom"/>
          </w:tcPr>
          <w:p w14:paraId="6EEE3EB3"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0AB4F1F5" w14:textId="77777777" w:rsidTr="6E4BEBA0">
        <w:tc>
          <w:tcPr>
            <w:tcW w:w="5858" w:type="dxa"/>
            <w:vAlign w:val="bottom"/>
          </w:tcPr>
          <w:p w14:paraId="4A90E4F5" w14:textId="77777777" w:rsidR="007E3E45" w:rsidRPr="0071518E" w:rsidRDefault="007E3E45" w:rsidP="007E3E45">
            <w:pPr>
              <w:spacing w:after="120"/>
              <w:rPr>
                <w:rFonts w:cstheme="minorHAnsi"/>
                <w:color w:val="000000"/>
              </w:rPr>
            </w:pPr>
            <w:r w:rsidRPr="0071518E">
              <w:rPr>
                <w:rFonts w:cstheme="minorHAnsi"/>
                <w:color w:val="000000"/>
              </w:rPr>
              <w:t xml:space="preserve">No details of accounting policy adopted for the apportionment of support costs and estimation techniques used to calculate their apportionment.  </w:t>
            </w:r>
          </w:p>
        </w:tc>
        <w:tc>
          <w:tcPr>
            <w:tcW w:w="1635" w:type="dxa"/>
            <w:vAlign w:val="bottom"/>
          </w:tcPr>
          <w:p w14:paraId="34937B7B" w14:textId="77777777" w:rsidR="007E3E45" w:rsidRPr="0071518E" w:rsidRDefault="007E3E45" w:rsidP="00B51B11">
            <w:pPr>
              <w:spacing w:after="120"/>
              <w:rPr>
                <w:rFonts w:cstheme="minorHAnsi"/>
                <w:color w:val="000000"/>
              </w:rPr>
            </w:pPr>
            <w:r w:rsidRPr="0071518E">
              <w:rPr>
                <w:rFonts w:cstheme="minorHAnsi"/>
                <w:color w:val="000000"/>
              </w:rPr>
              <w:t>7.4</w:t>
            </w:r>
          </w:p>
        </w:tc>
        <w:tc>
          <w:tcPr>
            <w:tcW w:w="1523" w:type="dxa"/>
            <w:vAlign w:val="bottom"/>
          </w:tcPr>
          <w:p w14:paraId="462CADAB"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A84D5D9" w14:textId="77777777" w:rsidTr="6E4BEBA0">
        <w:tc>
          <w:tcPr>
            <w:tcW w:w="5858" w:type="dxa"/>
            <w:vAlign w:val="bottom"/>
          </w:tcPr>
          <w:p w14:paraId="0C8AEAC5" w14:textId="77777777" w:rsidR="007E3E45" w:rsidRPr="0071518E" w:rsidRDefault="007E3E45" w:rsidP="007E3E45">
            <w:pPr>
              <w:spacing w:after="120"/>
              <w:rPr>
                <w:rFonts w:cstheme="minorHAnsi"/>
                <w:color w:val="000000"/>
              </w:rPr>
            </w:pPr>
            <w:r w:rsidRPr="0071518E">
              <w:rPr>
                <w:rFonts w:cstheme="minorHAnsi"/>
                <w:color w:val="000000"/>
              </w:rPr>
              <w:t>No detailed disclosure on the activities and funds that support costs.</w:t>
            </w:r>
          </w:p>
        </w:tc>
        <w:tc>
          <w:tcPr>
            <w:tcW w:w="1635" w:type="dxa"/>
            <w:vAlign w:val="bottom"/>
          </w:tcPr>
          <w:p w14:paraId="021CCB40" w14:textId="77777777" w:rsidR="007E3E45" w:rsidRPr="0071518E" w:rsidRDefault="007E3E45" w:rsidP="00B51B11">
            <w:pPr>
              <w:spacing w:after="120"/>
              <w:rPr>
                <w:rFonts w:cstheme="minorHAnsi"/>
                <w:color w:val="000000"/>
              </w:rPr>
            </w:pPr>
            <w:r w:rsidRPr="0071518E">
              <w:rPr>
                <w:rFonts w:cstheme="minorHAnsi"/>
                <w:color w:val="000000"/>
              </w:rPr>
              <w:t>8.7</w:t>
            </w:r>
          </w:p>
        </w:tc>
        <w:tc>
          <w:tcPr>
            <w:tcW w:w="1523" w:type="dxa"/>
            <w:vAlign w:val="bottom"/>
          </w:tcPr>
          <w:p w14:paraId="7AB0D184"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459355F0" w14:textId="77777777" w:rsidTr="6E4BEBA0">
        <w:trPr>
          <w:trHeight w:val="300"/>
        </w:trPr>
        <w:tc>
          <w:tcPr>
            <w:tcW w:w="5858" w:type="dxa"/>
            <w:vAlign w:val="bottom"/>
          </w:tcPr>
          <w:p w14:paraId="4D954891" w14:textId="77777777" w:rsidR="007E3E45" w:rsidRPr="0071518E" w:rsidRDefault="007E3E45" w:rsidP="007E3E45">
            <w:pPr>
              <w:spacing w:after="120"/>
              <w:rPr>
                <w:rFonts w:cstheme="minorHAnsi"/>
                <w:color w:val="000000"/>
              </w:rPr>
            </w:pPr>
            <w:r w:rsidRPr="0071518E">
              <w:rPr>
                <w:rFonts w:cstheme="minorHAnsi"/>
                <w:color w:val="000000"/>
              </w:rPr>
              <w:t xml:space="preserve">There has been no mention of whether Trustee expenses have been reimbursed or not </w:t>
            </w:r>
          </w:p>
        </w:tc>
        <w:tc>
          <w:tcPr>
            <w:tcW w:w="1635" w:type="dxa"/>
            <w:vAlign w:val="bottom"/>
          </w:tcPr>
          <w:p w14:paraId="0225859D" w14:textId="77777777" w:rsidR="007E3E45" w:rsidRPr="0071518E" w:rsidRDefault="007E3E45" w:rsidP="00B51B11">
            <w:pPr>
              <w:spacing w:after="120"/>
              <w:rPr>
                <w:rFonts w:cstheme="minorHAnsi"/>
                <w:color w:val="000000"/>
              </w:rPr>
            </w:pPr>
            <w:r w:rsidRPr="0071518E">
              <w:rPr>
                <w:rFonts w:cstheme="minorHAnsi"/>
                <w:color w:val="000000"/>
              </w:rPr>
              <w:t>9.11</w:t>
            </w:r>
          </w:p>
        </w:tc>
        <w:tc>
          <w:tcPr>
            <w:tcW w:w="1523" w:type="dxa"/>
            <w:vAlign w:val="bottom"/>
          </w:tcPr>
          <w:p w14:paraId="08658FE1" w14:textId="77777777" w:rsidR="007E3E45" w:rsidRPr="0071518E" w:rsidRDefault="0071518E" w:rsidP="00B51B11">
            <w:pPr>
              <w:spacing w:after="120"/>
              <w:rPr>
                <w:rFonts w:cstheme="minorHAnsi"/>
                <w:color w:val="000000"/>
              </w:rPr>
            </w:pPr>
            <w:r>
              <w:rPr>
                <w:rFonts w:cstheme="minorHAnsi"/>
                <w:color w:val="000000"/>
              </w:rPr>
              <w:t>Must</w:t>
            </w:r>
          </w:p>
        </w:tc>
      </w:tr>
      <w:tr w:rsidR="6E4BEBA0" w14:paraId="5ECA3E2C" w14:textId="77777777" w:rsidTr="6E4BEBA0">
        <w:trPr>
          <w:trHeight w:val="300"/>
        </w:trPr>
        <w:tc>
          <w:tcPr>
            <w:tcW w:w="5858" w:type="dxa"/>
            <w:vAlign w:val="bottom"/>
          </w:tcPr>
          <w:p w14:paraId="3A71CB09" w14:textId="77777777" w:rsidR="3F576067" w:rsidRDefault="3F576067" w:rsidP="00610F30">
            <w:pPr>
              <w:rPr>
                <w:color w:val="000000" w:themeColor="text1"/>
              </w:rPr>
            </w:pPr>
            <w:r w:rsidRPr="6E4BEBA0">
              <w:rPr>
                <w:color w:val="000000" w:themeColor="text1"/>
              </w:rPr>
              <w:t xml:space="preserve">A columnar presentation has not been adopted to distinguish between cashflows relating to restricted funds and cashflows relating to unrestricted funds. </w:t>
            </w:r>
          </w:p>
          <w:p w14:paraId="3095395D" w14:textId="73EFDD74" w:rsidR="3F576067" w:rsidRDefault="3F576067" w:rsidP="6E4BEBA0">
            <w:pPr>
              <w:spacing w:after="120"/>
              <w:rPr>
                <w:color w:val="000000" w:themeColor="text1"/>
              </w:rPr>
            </w:pPr>
            <w:r w:rsidRPr="6E4BEBA0">
              <w:rPr>
                <w:color w:val="000000" w:themeColor="text1"/>
              </w:rPr>
              <w:t>Only disclosure in Note 20 relates to classification (restricted or unrestricted) of ending cash balance account</w:t>
            </w:r>
          </w:p>
          <w:p w14:paraId="492DEBB3" w14:textId="77777777" w:rsidR="3F576067" w:rsidRDefault="3F576067" w:rsidP="6E4BEBA0">
            <w:pPr>
              <w:spacing w:after="120"/>
              <w:rPr>
                <w:color w:val="000000" w:themeColor="text1"/>
              </w:rPr>
            </w:pPr>
            <w:r w:rsidRPr="6E4BEBA0">
              <w:rPr>
                <w:color w:val="000000" w:themeColor="text1"/>
              </w:rPr>
              <w:t xml:space="preserve">Note 16 includes the breakdown of deferred income per programme for ESF. However, no note reference of such balances within Note 15. </w:t>
            </w:r>
          </w:p>
          <w:p w14:paraId="03B69051" w14:textId="51C79EE7" w:rsidR="3F576067" w:rsidRDefault="3F576067" w:rsidP="6E4BEBA0">
            <w:pPr>
              <w:rPr>
                <w:color w:val="000000" w:themeColor="text1"/>
              </w:rPr>
            </w:pPr>
            <w:r w:rsidRPr="6E4BEBA0">
              <w:rPr>
                <w:color w:val="000000" w:themeColor="text1"/>
              </w:rPr>
              <w:lastRenderedPageBreak/>
              <w:t>Furthermore, there is no detailed disclosure of deferred income amounting to 2.033m in note 15 as support for the calculation/movement from Previous Year.</w:t>
            </w:r>
          </w:p>
        </w:tc>
        <w:tc>
          <w:tcPr>
            <w:tcW w:w="1635" w:type="dxa"/>
          </w:tcPr>
          <w:p w14:paraId="7CBB8938" w14:textId="72C27935" w:rsidR="3F576067" w:rsidRDefault="3F576067" w:rsidP="6E4BEBA0">
            <w:pPr>
              <w:rPr>
                <w:color w:val="000000" w:themeColor="text1"/>
              </w:rPr>
            </w:pPr>
            <w:r w:rsidRPr="6E4BEBA0">
              <w:rPr>
                <w:color w:val="000000" w:themeColor="text1"/>
              </w:rPr>
              <w:lastRenderedPageBreak/>
              <w:t>14.7</w:t>
            </w:r>
          </w:p>
          <w:p w14:paraId="3724DF29" w14:textId="527B5D22" w:rsidR="6E4BEBA0" w:rsidRDefault="6E4BEBA0" w:rsidP="6E4BEBA0">
            <w:pPr>
              <w:rPr>
                <w:color w:val="000000" w:themeColor="text1"/>
              </w:rPr>
            </w:pPr>
          </w:p>
          <w:p w14:paraId="77F71CC2" w14:textId="2933AF0F" w:rsidR="6E4BEBA0" w:rsidRDefault="6E4BEBA0" w:rsidP="6E4BEBA0">
            <w:pPr>
              <w:rPr>
                <w:color w:val="000000" w:themeColor="text1"/>
              </w:rPr>
            </w:pPr>
          </w:p>
          <w:p w14:paraId="0A35DDA4" w14:textId="716E8126" w:rsidR="6E4BEBA0" w:rsidRDefault="6E4BEBA0" w:rsidP="6E4BEBA0">
            <w:pPr>
              <w:rPr>
                <w:color w:val="000000" w:themeColor="text1"/>
              </w:rPr>
            </w:pPr>
          </w:p>
          <w:p w14:paraId="65FAF53B" w14:textId="4D9860D9" w:rsidR="6E4BEBA0" w:rsidRDefault="6E4BEBA0" w:rsidP="6E4BEBA0">
            <w:pPr>
              <w:rPr>
                <w:color w:val="000000" w:themeColor="text1"/>
              </w:rPr>
            </w:pPr>
          </w:p>
          <w:p w14:paraId="6923190A" w14:textId="19081F13" w:rsidR="6E4BEBA0" w:rsidRDefault="6E4BEBA0" w:rsidP="6E4BEBA0">
            <w:pPr>
              <w:rPr>
                <w:color w:val="000000" w:themeColor="text1"/>
              </w:rPr>
            </w:pPr>
          </w:p>
          <w:p w14:paraId="10CCAA26" w14:textId="760BB521" w:rsidR="6E4BEBA0" w:rsidRDefault="6E4BEBA0" w:rsidP="6E4BEBA0">
            <w:pPr>
              <w:rPr>
                <w:color w:val="000000" w:themeColor="text1"/>
              </w:rPr>
            </w:pPr>
          </w:p>
          <w:p w14:paraId="0EA10D41" w14:textId="48B78F85" w:rsidR="6E4BEBA0" w:rsidRDefault="6E4BEBA0" w:rsidP="6E4BEBA0">
            <w:pPr>
              <w:rPr>
                <w:color w:val="000000" w:themeColor="text1"/>
              </w:rPr>
            </w:pPr>
          </w:p>
          <w:p w14:paraId="0A1A4788" w14:textId="539195CF" w:rsidR="6E4BEBA0" w:rsidRDefault="6E4BEBA0" w:rsidP="6E4BEBA0">
            <w:pPr>
              <w:rPr>
                <w:color w:val="000000" w:themeColor="text1"/>
              </w:rPr>
            </w:pPr>
          </w:p>
          <w:p w14:paraId="58356AB4" w14:textId="02B73D99" w:rsidR="3F576067" w:rsidRDefault="3F576067" w:rsidP="6E4BEBA0">
            <w:pPr>
              <w:rPr>
                <w:color w:val="000000" w:themeColor="text1"/>
              </w:rPr>
            </w:pPr>
            <w:r w:rsidRPr="6E4BEBA0">
              <w:rPr>
                <w:color w:val="000000" w:themeColor="text1"/>
              </w:rPr>
              <w:lastRenderedPageBreak/>
              <w:t>9.18</w:t>
            </w:r>
          </w:p>
          <w:p w14:paraId="3732C104" w14:textId="240BC962" w:rsidR="6E4BEBA0" w:rsidRDefault="6E4BEBA0" w:rsidP="6E4BEBA0">
            <w:pPr>
              <w:rPr>
                <w:color w:val="000000" w:themeColor="text1"/>
              </w:rPr>
            </w:pPr>
          </w:p>
          <w:p w14:paraId="2AE6DBE3" w14:textId="223B8F9C" w:rsidR="6E4BEBA0" w:rsidRDefault="6E4BEBA0" w:rsidP="6E4BEBA0">
            <w:pPr>
              <w:rPr>
                <w:color w:val="000000" w:themeColor="text1"/>
              </w:rPr>
            </w:pPr>
          </w:p>
        </w:tc>
        <w:tc>
          <w:tcPr>
            <w:tcW w:w="1523" w:type="dxa"/>
          </w:tcPr>
          <w:p w14:paraId="78E16271" w14:textId="62B056CF" w:rsidR="3F576067" w:rsidRDefault="3F576067" w:rsidP="6E4BEBA0">
            <w:pPr>
              <w:rPr>
                <w:color w:val="000000" w:themeColor="text1"/>
              </w:rPr>
            </w:pPr>
            <w:r w:rsidRPr="6E4BEBA0">
              <w:rPr>
                <w:color w:val="000000" w:themeColor="text1"/>
              </w:rPr>
              <w:lastRenderedPageBreak/>
              <w:t>May</w:t>
            </w:r>
          </w:p>
          <w:p w14:paraId="2859CBC2" w14:textId="47C4D09D" w:rsidR="6E4BEBA0" w:rsidRDefault="6E4BEBA0" w:rsidP="6E4BEBA0">
            <w:pPr>
              <w:rPr>
                <w:color w:val="000000" w:themeColor="text1"/>
              </w:rPr>
            </w:pPr>
          </w:p>
          <w:p w14:paraId="1556240B" w14:textId="7236BDA3" w:rsidR="6E4BEBA0" w:rsidRDefault="6E4BEBA0" w:rsidP="6E4BEBA0">
            <w:pPr>
              <w:rPr>
                <w:color w:val="000000" w:themeColor="text1"/>
              </w:rPr>
            </w:pPr>
          </w:p>
          <w:p w14:paraId="3BF8E4ED" w14:textId="7C5155A3" w:rsidR="6E4BEBA0" w:rsidRDefault="6E4BEBA0" w:rsidP="6E4BEBA0">
            <w:pPr>
              <w:rPr>
                <w:color w:val="000000" w:themeColor="text1"/>
              </w:rPr>
            </w:pPr>
          </w:p>
          <w:p w14:paraId="6A6F0BD4" w14:textId="33B1AF4D" w:rsidR="6E4BEBA0" w:rsidRDefault="6E4BEBA0" w:rsidP="6E4BEBA0">
            <w:pPr>
              <w:rPr>
                <w:color w:val="000000" w:themeColor="text1"/>
              </w:rPr>
            </w:pPr>
          </w:p>
          <w:p w14:paraId="60106A4D" w14:textId="564882CA" w:rsidR="6E4BEBA0" w:rsidRDefault="6E4BEBA0" w:rsidP="6E4BEBA0">
            <w:pPr>
              <w:rPr>
                <w:color w:val="000000" w:themeColor="text1"/>
              </w:rPr>
            </w:pPr>
          </w:p>
          <w:p w14:paraId="0D01B92D" w14:textId="57432AA5" w:rsidR="6E4BEBA0" w:rsidRDefault="6E4BEBA0" w:rsidP="6E4BEBA0">
            <w:pPr>
              <w:rPr>
                <w:color w:val="000000" w:themeColor="text1"/>
              </w:rPr>
            </w:pPr>
          </w:p>
          <w:p w14:paraId="3CD7B7BA" w14:textId="0946FAA5" w:rsidR="6E4BEBA0" w:rsidRDefault="6E4BEBA0" w:rsidP="6E4BEBA0">
            <w:pPr>
              <w:rPr>
                <w:color w:val="000000" w:themeColor="text1"/>
              </w:rPr>
            </w:pPr>
          </w:p>
          <w:p w14:paraId="6DB9FF3C" w14:textId="5ABB11A6" w:rsidR="6E4BEBA0" w:rsidRDefault="6E4BEBA0" w:rsidP="6E4BEBA0">
            <w:pPr>
              <w:rPr>
                <w:color w:val="000000" w:themeColor="text1"/>
              </w:rPr>
            </w:pPr>
          </w:p>
          <w:p w14:paraId="58926104" w14:textId="2623AB2A" w:rsidR="3F576067" w:rsidRDefault="3F576067" w:rsidP="6E4BEBA0">
            <w:pPr>
              <w:rPr>
                <w:color w:val="000000" w:themeColor="text1"/>
              </w:rPr>
            </w:pPr>
            <w:r w:rsidRPr="6E4BEBA0">
              <w:rPr>
                <w:color w:val="000000" w:themeColor="text1"/>
              </w:rPr>
              <w:lastRenderedPageBreak/>
              <w:t>Must</w:t>
            </w:r>
          </w:p>
        </w:tc>
      </w:tr>
      <w:tr w:rsidR="007E3E45" w:rsidRPr="0071518E" w14:paraId="5BE0F84C" w14:textId="77777777" w:rsidTr="6E4BEBA0">
        <w:tc>
          <w:tcPr>
            <w:tcW w:w="5858" w:type="dxa"/>
            <w:vAlign w:val="bottom"/>
          </w:tcPr>
          <w:p w14:paraId="60842C9B" w14:textId="77777777" w:rsidR="007E3E45" w:rsidRPr="0071518E" w:rsidRDefault="007E3E45" w:rsidP="007E3E45">
            <w:pPr>
              <w:spacing w:after="120"/>
              <w:rPr>
                <w:rFonts w:cstheme="minorHAnsi"/>
                <w:color w:val="000000"/>
              </w:rPr>
            </w:pPr>
            <w:r w:rsidRPr="0071518E">
              <w:rPr>
                <w:rFonts w:cstheme="minorHAnsi"/>
                <w:color w:val="000000"/>
              </w:rPr>
              <w:lastRenderedPageBreak/>
              <w:t>There has been no mention of whether related party transactions have occurred or not</w:t>
            </w:r>
          </w:p>
        </w:tc>
        <w:tc>
          <w:tcPr>
            <w:tcW w:w="1635" w:type="dxa"/>
            <w:vAlign w:val="bottom"/>
          </w:tcPr>
          <w:p w14:paraId="501CD537" w14:textId="77777777" w:rsidR="007E3E45" w:rsidRPr="0071518E" w:rsidRDefault="007E3E45" w:rsidP="00B51B11">
            <w:pPr>
              <w:spacing w:after="120"/>
              <w:rPr>
                <w:rFonts w:cstheme="minorHAnsi"/>
                <w:color w:val="000000"/>
              </w:rPr>
            </w:pPr>
            <w:r w:rsidRPr="0071518E">
              <w:rPr>
                <w:rFonts w:cstheme="minorHAnsi"/>
                <w:color w:val="000000"/>
              </w:rPr>
              <w:t>9.19</w:t>
            </w:r>
          </w:p>
        </w:tc>
        <w:tc>
          <w:tcPr>
            <w:tcW w:w="1523" w:type="dxa"/>
            <w:vAlign w:val="bottom"/>
          </w:tcPr>
          <w:p w14:paraId="270153D9"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ACDB460" w14:textId="77777777" w:rsidTr="6E4BEBA0">
        <w:tc>
          <w:tcPr>
            <w:tcW w:w="5858" w:type="dxa"/>
            <w:vAlign w:val="bottom"/>
          </w:tcPr>
          <w:p w14:paraId="25B46425" w14:textId="77777777" w:rsidR="007E3E45" w:rsidRPr="0071518E" w:rsidRDefault="007E3E45" w:rsidP="007E3E45">
            <w:pPr>
              <w:spacing w:after="120"/>
              <w:rPr>
                <w:rFonts w:cstheme="minorHAnsi"/>
                <w:color w:val="000000"/>
              </w:rPr>
            </w:pPr>
            <w:r w:rsidRPr="0071518E">
              <w:rPr>
                <w:rFonts w:cstheme="minorHAnsi"/>
                <w:color w:val="000000"/>
              </w:rPr>
              <w:t>Auditor remuneration not disclosed independent of professional fees</w:t>
            </w:r>
          </w:p>
        </w:tc>
        <w:tc>
          <w:tcPr>
            <w:tcW w:w="1635" w:type="dxa"/>
            <w:vAlign w:val="bottom"/>
          </w:tcPr>
          <w:p w14:paraId="3F4798A7" w14:textId="77777777" w:rsidR="007E3E45" w:rsidRPr="0071518E" w:rsidRDefault="007E3E45" w:rsidP="00B51B11">
            <w:pPr>
              <w:spacing w:after="120"/>
              <w:rPr>
                <w:rFonts w:cstheme="minorHAnsi"/>
                <w:color w:val="000000"/>
              </w:rPr>
            </w:pPr>
            <w:r w:rsidRPr="0071518E">
              <w:rPr>
                <w:rFonts w:cstheme="minorHAnsi"/>
                <w:color w:val="000000"/>
              </w:rPr>
              <w:t>9.23</w:t>
            </w:r>
          </w:p>
        </w:tc>
        <w:tc>
          <w:tcPr>
            <w:tcW w:w="1523" w:type="dxa"/>
            <w:vAlign w:val="bottom"/>
          </w:tcPr>
          <w:p w14:paraId="555B6FCB"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7A2676BC" w14:textId="77777777" w:rsidTr="6E4BEBA0">
        <w:tc>
          <w:tcPr>
            <w:tcW w:w="5858" w:type="dxa"/>
            <w:vAlign w:val="bottom"/>
          </w:tcPr>
          <w:p w14:paraId="3A0E2E3B" w14:textId="77777777" w:rsidR="007E3E45" w:rsidRPr="0071518E" w:rsidRDefault="007E3E45" w:rsidP="007E3E45">
            <w:pPr>
              <w:spacing w:after="120"/>
              <w:rPr>
                <w:rFonts w:cstheme="minorHAnsi"/>
                <w:color w:val="000000"/>
              </w:rPr>
            </w:pPr>
            <w:r w:rsidRPr="0071518E">
              <w:rPr>
                <w:rFonts w:cstheme="minorHAnsi"/>
                <w:color w:val="000000"/>
              </w:rPr>
              <w:t xml:space="preserve">A charity </w:t>
            </w:r>
            <w:r w:rsidR="0071518E">
              <w:rPr>
                <w:rFonts w:cstheme="minorHAnsi"/>
                <w:color w:val="000000"/>
              </w:rPr>
              <w:t>Must</w:t>
            </w:r>
            <w:r w:rsidRPr="0071518E">
              <w:rPr>
                <w:rFonts w:cstheme="minorHAnsi"/>
                <w:color w:val="000000"/>
              </w:rPr>
              <w:t xml:space="preserve"> state its accounting policy in respect of any redundancy or termination payments relating to the reporting period. The accounts did not contain a policy on redundancy payments.</w:t>
            </w:r>
          </w:p>
        </w:tc>
        <w:tc>
          <w:tcPr>
            <w:tcW w:w="1635" w:type="dxa"/>
            <w:vAlign w:val="bottom"/>
          </w:tcPr>
          <w:p w14:paraId="3D0CBF25" w14:textId="77777777" w:rsidR="007E3E45" w:rsidRPr="0071518E" w:rsidRDefault="007E3E45" w:rsidP="00B51B11">
            <w:pPr>
              <w:spacing w:after="120"/>
              <w:rPr>
                <w:rFonts w:cstheme="minorHAnsi"/>
                <w:color w:val="000000"/>
              </w:rPr>
            </w:pPr>
            <w:r w:rsidRPr="0071518E">
              <w:rPr>
                <w:rFonts w:cstheme="minorHAnsi"/>
                <w:color w:val="000000"/>
              </w:rPr>
              <w:t>9.27</w:t>
            </w:r>
          </w:p>
        </w:tc>
        <w:tc>
          <w:tcPr>
            <w:tcW w:w="1523" w:type="dxa"/>
            <w:vAlign w:val="bottom"/>
          </w:tcPr>
          <w:p w14:paraId="414D0101"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4969445C" w14:textId="77777777" w:rsidTr="6E4BEBA0">
        <w:tc>
          <w:tcPr>
            <w:tcW w:w="5858" w:type="dxa"/>
            <w:vAlign w:val="bottom"/>
          </w:tcPr>
          <w:p w14:paraId="01C56451" w14:textId="77777777" w:rsidR="007E3E45" w:rsidRPr="0071518E" w:rsidRDefault="007E3E45" w:rsidP="007E3E45">
            <w:pPr>
              <w:spacing w:after="120"/>
              <w:rPr>
                <w:rFonts w:cstheme="minorHAnsi"/>
                <w:color w:val="000000"/>
              </w:rPr>
            </w:pPr>
            <w:r w:rsidRPr="0071518E">
              <w:rPr>
                <w:rFonts w:cstheme="minorHAnsi"/>
                <w:color w:val="000000"/>
              </w:rPr>
              <w:t xml:space="preserve">A note does not set out the number of full-time equivalent staff or analysis of staff engaged </w:t>
            </w:r>
            <w:proofErr w:type="gramStart"/>
            <w:r w:rsidRPr="0071518E">
              <w:rPr>
                <w:rFonts w:cstheme="minorHAnsi"/>
                <w:color w:val="000000"/>
              </w:rPr>
              <w:t>in particular activities</w:t>
            </w:r>
            <w:proofErr w:type="gramEnd"/>
          </w:p>
        </w:tc>
        <w:tc>
          <w:tcPr>
            <w:tcW w:w="1635" w:type="dxa"/>
            <w:vAlign w:val="bottom"/>
          </w:tcPr>
          <w:p w14:paraId="598E7F78" w14:textId="77777777" w:rsidR="007E3E45" w:rsidRPr="0071518E" w:rsidRDefault="007E3E45" w:rsidP="00B51B11">
            <w:pPr>
              <w:spacing w:after="120"/>
              <w:rPr>
                <w:rFonts w:cstheme="minorHAnsi"/>
                <w:color w:val="000000"/>
              </w:rPr>
            </w:pPr>
            <w:r w:rsidRPr="0071518E">
              <w:rPr>
                <w:rFonts w:cstheme="minorHAnsi"/>
                <w:color w:val="000000"/>
              </w:rPr>
              <w:t>9.29</w:t>
            </w:r>
          </w:p>
        </w:tc>
        <w:tc>
          <w:tcPr>
            <w:tcW w:w="1523" w:type="dxa"/>
            <w:vAlign w:val="bottom"/>
          </w:tcPr>
          <w:p w14:paraId="6EADFB28"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CB9F200" w14:textId="77777777" w:rsidTr="6E4BEBA0">
        <w:tc>
          <w:tcPr>
            <w:tcW w:w="5858" w:type="dxa"/>
            <w:vAlign w:val="bottom"/>
          </w:tcPr>
          <w:p w14:paraId="436DC762" w14:textId="11522612" w:rsidR="007E3E45" w:rsidRPr="0071518E" w:rsidRDefault="007E3E45" w:rsidP="099F2F4D">
            <w:pPr>
              <w:spacing w:after="120"/>
              <w:rPr>
                <w:color w:val="000000"/>
              </w:rPr>
            </w:pPr>
            <w:r w:rsidRPr="099F2F4D">
              <w:rPr>
                <w:color w:val="000000" w:themeColor="text1"/>
              </w:rPr>
              <w:t xml:space="preserve">It has not been disclosed as to whether any </w:t>
            </w:r>
            <w:r w:rsidR="15CB6EE9" w:rsidRPr="099F2F4D">
              <w:rPr>
                <w:color w:val="000000" w:themeColor="text1"/>
              </w:rPr>
              <w:t>employee's</w:t>
            </w:r>
            <w:r w:rsidRPr="099F2F4D">
              <w:rPr>
                <w:color w:val="000000" w:themeColor="text1"/>
              </w:rPr>
              <w:t xml:space="preserve"> benefits exceed €60,000 or not</w:t>
            </w:r>
          </w:p>
        </w:tc>
        <w:tc>
          <w:tcPr>
            <w:tcW w:w="1635" w:type="dxa"/>
            <w:vAlign w:val="bottom"/>
          </w:tcPr>
          <w:p w14:paraId="2CB70498" w14:textId="77777777" w:rsidR="007E3E45" w:rsidRPr="0071518E" w:rsidRDefault="007E3E45" w:rsidP="00B51B11">
            <w:pPr>
              <w:spacing w:after="120"/>
              <w:rPr>
                <w:rFonts w:cstheme="minorHAnsi"/>
                <w:color w:val="000000"/>
              </w:rPr>
            </w:pPr>
            <w:r w:rsidRPr="0071518E">
              <w:rPr>
                <w:rFonts w:cstheme="minorHAnsi"/>
                <w:color w:val="000000"/>
              </w:rPr>
              <w:t>9.3</w:t>
            </w:r>
          </w:p>
        </w:tc>
        <w:tc>
          <w:tcPr>
            <w:tcW w:w="1523" w:type="dxa"/>
            <w:vAlign w:val="bottom"/>
          </w:tcPr>
          <w:p w14:paraId="11B71E93"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0848C941" w14:textId="77777777" w:rsidTr="6E4BEBA0">
        <w:tc>
          <w:tcPr>
            <w:tcW w:w="5858" w:type="dxa"/>
            <w:vAlign w:val="bottom"/>
          </w:tcPr>
          <w:p w14:paraId="615A7E8F" w14:textId="77777777" w:rsidR="007E3E45" w:rsidRPr="0071518E" w:rsidRDefault="007E3E45" w:rsidP="007E3E45">
            <w:pPr>
              <w:spacing w:after="120"/>
              <w:rPr>
                <w:rFonts w:cstheme="minorHAnsi"/>
                <w:color w:val="000000"/>
              </w:rPr>
            </w:pPr>
            <w:r w:rsidRPr="0071518E">
              <w:rPr>
                <w:rFonts w:cstheme="minorHAnsi"/>
                <w:color w:val="000000"/>
              </w:rPr>
              <w:t>Key Management personnel note does not include all required information</w:t>
            </w:r>
          </w:p>
        </w:tc>
        <w:tc>
          <w:tcPr>
            <w:tcW w:w="1635" w:type="dxa"/>
            <w:vAlign w:val="bottom"/>
          </w:tcPr>
          <w:p w14:paraId="76487BC3" w14:textId="77777777" w:rsidR="007E3E45" w:rsidRPr="0071518E" w:rsidRDefault="007E3E45" w:rsidP="00B51B11">
            <w:pPr>
              <w:spacing w:after="120"/>
              <w:rPr>
                <w:rFonts w:cstheme="minorHAnsi"/>
                <w:color w:val="000000"/>
              </w:rPr>
            </w:pPr>
            <w:r w:rsidRPr="0071518E">
              <w:rPr>
                <w:rFonts w:cstheme="minorHAnsi"/>
                <w:color w:val="000000"/>
              </w:rPr>
              <w:t>9.32</w:t>
            </w:r>
          </w:p>
        </w:tc>
        <w:tc>
          <w:tcPr>
            <w:tcW w:w="1523" w:type="dxa"/>
            <w:vAlign w:val="bottom"/>
          </w:tcPr>
          <w:p w14:paraId="209DBFC9"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33FBDC7E" w14:textId="77777777" w:rsidTr="6E4BEBA0">
        <w:tc>
          <w:tcPr>
            <w:tcW w:w="5858" w:type="dxa"/>
            <w:vAlign w:val="bottom"/>
          </w:tcPr>
          <w:p w14:paraId="1616193C" w14:textId="07A888E1" w:rsidR="007E3E45" w:rsidRPr="0071518E" w:rsidRDefault="007E3E45" w:rsidP="099F2F4D">
            <w:pPr>
              <w:spacing w:after="120"/>
              <w:rPr>
                <w:color w:val="000000"/>
              </w:rPr>
            </w:pPr>
            <w:r w:rsidRPr="099F2F4D">
              <w:rPr>
                <w:color w:val="000000" w:themeColor="text1"/>
              </w:rPr>
              <w:t xml:space="preserve">There is no note explaining if there </w:t>
            </w:r>
            <w:r w:rsidR="385B3858" w:rsidRPr="099F2F4D">
              <w:rPr>
                <w:color w:val="000000" w:themeColor="text1"/>
              </w:rPr>
              <w:t>are</w:t>
            </w:r>
            <w:r w:rsidRPr="099F2F4D">
              <w:rPr>
                <w:color w:val="000000" w:themeColor="text1"/>
              </w:rPr>
              <w:t xml:space="preserve"> any capital commitments at the year end</w:t>
            </w:r>
          </w:p>
        </w:tc>
        <w:tc>
          <w:tcPr>
            <w:tcW w:w="1635" w:type="dxa"/>
            <w:vAlign w:val="bottom"/>
          </w:tcPr>
          <w:p w14:paraId="1F2E53AA" w14:textId="77777777" w:rsidR="007E3E45" w:rsidRPr="0071518E" w:rsidRDefault="007E3E45" w:rsidP="00B51B11">
            <w:pPr>
              <w:spacing w:after="120"/>
              <w:rPr>
                <w:rFonts w:cstheme="minorHAnsi"/>
                <w:color w:val="000000"/>
              </w:rPr>
            </w:pPr>
            <w:r w:rsidRPr="0071518E">
              <w:rPr>
                <w:rFonts w:cstheme="minorHAnsi"/>
                <w:color w:val="000000"/>
              </w:rPr>
              <w:t>10.37</w:t>
            </w:r>
          </w:p>
        </w:tc>
        <w:tc>
          <w:tcPr>
            <w:tcW w:w="1523" w:type="dxa"/>
            <w:vAlign w:val="bottom"/>
          </w:tcPr>
          <w:p w14:paraId="1B7D4E22"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313F482B" w14:textId="77777777" w:rsidTr="6E4BEBA0">
        <w:tc>
          <w:tcPr>
            <w:tcW w:w="5858" w:type="dxa"/>
            <w:vAlign w:val="bottom"/>
          </w:tcPr>
          <w:p w14:paraId="3310FC6F" w14:textId="77777777" w:rsidR="0071518E" w:rsidRDefault="007E3E45" w:rsidP="007E3E45">
            <w:pPr>
              <w:spacing w:after="120"/>
              <w:rPr>
                <w:rFonts w:cstheme="minorHAnsi"/>
                <w:color w:val="000000"/>
              </w:rPr>
            </w:pPr>
            <w:r w:rsidRPr="0071518E">
              <w:rPr>
                <w:rFonts w:cstheme="minorHAnsi"/>
                <w:color w:val="000000"/>
              </w:rPr>
              <w:t xml:space="preserve">For investments, a charity </w:t>
            </w:r>
            <w:r w:rsidR="0071518E">
              <w:rPr>
                <w:rFonts w:cstheme="minorHAnsi"/>
                <w:color w:val="000000"/>
              </w:rPr>
              <w:t>Must</w:t>
            </w:r>
            <w:r w:rsidRPr="0071518E">
              <w:rPr>
                <w:rFonts w:cstheme="minorHAnsi"/>
                <w:color w:val="000000"/>
              </w:rPr>
              <w:t xml:space="preserve"> disclose an analysis of investments by class of investment identifying amounts held in each class. </w:t>
            </w:r>
          </w:p>
          <w:p w14:paraId="7C425B41" w14:textId="77777777" w:rsidR="007E3E45" w:rsidRPr="0071518E" w:rsidRDefault="007E3E45" w:rsidP="007E3E45">
            <w:pPr>
              <w:spacing w:after="120"/>
              <w:rPr>
                <w:rFonts w:cstheme="minorHAnsi"/>
                <w:color w:val="000000"/>
              </w:rPr>
            </w:pPr>
            <w:r w:rsidRPr="0071518E">
              <w:rPr>
                <w:rFonts w:cstheme="minorHAnsi"/>
                <w:color w:val="000000"/>
              </w:rPr>
              <w:t>While we do positively note that the accounts contain this disclosure in the group table, the disclosure has not been applied to the company table</w:t>
            </w:r>
          </w:p>
        </w:tc>
        <w:tc>
          <w:tcPr>
            <w:tcW w:w="1635" w:type="dxa"/>
            <w:vAlign w:val="bottom"/>
          </w:tcPr>
          <w:p w14:paraId="5F061025" w14:textId="77777777" w:rsidR="007E3E45" w:rsidRPr="0071518E" w:rsidRDefault="007E3E45" w:rsidP="00B51B11">
            <w:pPr>
              <w:spacing w:after="120"/>
              <w:rPr>
                <w:rFonts w:cstheme="minorHAnsi"/>
                <w:color w:val="000000"/>
              </w:rPr>
            </w:pPr>
            <w:r w:rsidRPr="0071518E">
              <w:rPr>
                <w:rFonts w:cstheme="minorHAnsi"/>
                <w:color w:val="000000"/>
              </w:rPr>
              <w:t>10.53/10.54</w:t>
            </w:r>
          </w:p>
        </w:tc>
        <w:tc>
          <w:tcPr>
            <w:tcW w:w="1523" w:type="dxa"/>
            <w:vAlign w:val="bottom"/>
          </w:tcPr>
          <w:p w14:paraId="54493362"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0BF9BD74" w14:textId="77777777" w:rsidTr="6E4BEBA0">
        <w:tc>
          <w:tcPr>
            <w:tcW w:w="5858" w:type="dxa"/>
            <w:vAlign w:val="bottom"/>
          </w:tcPr>
          <w:p w14:paraId="449CDAC5" w14:textId="77777777" w:rsidR="007E3E45" w:rsidRPr="0071518E" w:rsidRDefault="007E3E45" w:rsidP="007E3E45">
            <w:pPr>
              <w:spacing w:after="120"/>
              <w:rPr>
                <w:rFonts w:cstheme="minorHAnsi"/>
                <w:color w:val="000000"/>
              </w:rPr>
            </w:pPr>
            <w:r w:rsidRPr="0071518E">
              <w:rPr>
                <w:rFonts w:cstheme="minorHAnsi"/>
                <w:color w:val="000000"/>
              </w:rPr>
              <w:t>Total Charity Funds was disclosed as 'Income Funds' instead</w:t>
            </w:r>
          </w:p>
        </w:tc>
        <w:tc>
          <w:tcPr>
            <w:tcW w:w="1635" w:type="dxa"/>
            <w:vAlign w:val="bottom"/>
          </w:tcPr>
          <w:p w14:paraId="696F1D09" w14:textId="77777777" w:rsidR="007E3E45" w:rsidRPr="0071518E" w:rsidRDefault="007E3E45" w:rsidP="00B51B11">
            <w:pPr>
              <w:spacing w:after="120"/>
              <w:rPr>
                <w:rFonts w:cstheme="minorHAnsi"/>
                <w:color w:val="000000"/>
              </w:rPr>
            </w:pPr>
            <w:r w:rsidRPr="0071518E">
              <w:rPr>
                <w:rFonts w:cstheme="minorHAnsi"/>
                <w:color w:val="000000"/>
              </w:rPr>
              <w:t>10.6</w:t>
            </w:r>
          </w:p>
        </w:tc>
        <w:tc>
          <w:tcPr>
            <w:tcW w:w="1523" w:type="dxa"/>
            <w:vAlign w:val="bottom"/>
          </w:tcPr>
          <w:p w14:paraId="3B770CF1"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551D18C" w14:textId="77777777" w:rsidTr="6E4BEBA0">
        <w:tc>
          <w:tcPr>
            <w:tcW w:w="5858" w:type="dxa"/>
            <w:vAlign w:val="bottom"/>
          </w:tcPr>
          <w:p w14:paraId="3D060F25" w14:textId="743F11FD" w:rsidR="007E3E45" w:rsidRPr="0071518E" w:rsidRDefault="007E3E45" w:rsidP="099F2F4D">
            <w:pPr>
              <w:spacing w:after="120"/>
              <w:rPr>
                <w:color w:val="000000"/>
              </w:rPr>
            </w:pPr>
            <w:r w:rsidRPr="099F2F4D">
              <w:rPr>
                <w:color w:val="000000" w:themeColor="text1"/>
              </w:rPr>
              <w:t xml:space="preserve">Annual Report/financial statements </w:t>
            </w:r>
            <w:r w:rsidR="2D5CFF50" w:rsidRPr="099F2F4D">
              <w:rPr>
                <w:color w:val="000000" w:themeColor="text1"/>
              </w:rPr>
              <w:t>contain</w:t>
            </w:r>
            <w:r w:rsidRPr="099F2F4D">
              <w:rPr>
                <w:color w:val="000000" w:themeColor="text1"/>
              </w:rPr>
              <w:t xml:space="preserve"> no stock accounting policy</w:t>
            </w:r>
          </w:p>
        </w:tc>
        <w:tc>
          <w:tcPr>
            <w:tcW w:w="1635" w:type="dxa"/>
            <w:vAlign w:val="bottom"/>
          </w:tcPr>
          <w:p w14:paraId="2F30A7F3" w14:textId="77777777" w:rsidR="007E3E45" w:rsidRPr="0071518E" w:rsidRDefault="007E3E45" w:rsidP="00B51B11">
            <w:pPr>
              <w:spacing w:after="120"/>
              <w:rPr>
                <w:rFonts w:cstheme="minorHAnsi"/>
                <w:color w:val="000000"/>
              </w:rPr>
            </w:pPr>
            <w:r w:rsidRPr="0071518E">
              <w:rPr>
                <w:rFonts w:cstheme="minorHAnsi"/>
                <w:color w:val="000000"/>
              </w:rPr>
              <w:t>10.63</w:t>
            </w:r>
          </w:p>
        </w:tc>
        <w:tc>
          <w:tcPr>
            <w:tcW w:w="1523" w:type="dxa"/>
            <w:vAlign w:val="bottom"/>
          </w:tcPr>
          <w:p w14:paraId="01E28962"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12915651" w14:textId="77777777" w:rsidTr="6E4BEBA0">
        <w:tc>
          <w:tcPr>
            <w:tcW w:w="5858" w:type="dxa"/>
            <w:vAlign w:val="bottom"/>
          </w:tcPr>
          <w:p w14:paraId="354B5C3D" w14:textId="4CAE7DB4" w:rsidR="007E3E45" w:rsidRPr="0071518E" w:rsidRDefault="007E3E45" w:rsidP="099F2F4D">
            <w:pPr>
              <w:spacing w:after="120"/>
              <w:rPr>
                <w:color w:val="000000"/>
              </w:rPr>
            </w:pPr>
            <w:r w:rsidRPr="099F2F4D">
              <w:rPr>
                <w:color w:val="000000" w:themeColor="text1"/>
              </w:rPr>
              <w:t xml:space="preserve">No note which sets out, within the disclosure of accounting policies, the basis on which debtors </w:t>
            </w:r>
            <w:r w:rsidR="513D5D77" w:rsidRPr="099F2F4D">
              <w:rPr>
                <w:color w:val="000000" w:themeColor="text1"/>
              </w:rPr>
              <w:t>are measured</w:t>
            </w:r>
            <w:r w:rsidRPr="099F2F4D">
              <w:rPr>
                <w:color w:val="000000" w:themeColor="text1"/>
              </w:rPr>
              <w:t>.</w:t>
            </w:r>
          </w:p>
        </w:tc>
        <w:tc>
          <w:tcPr>
            <w:tcW w:w="1635" w:type="dxa"/>
            <w:vAlign w:val="bottom"/>
          </w:tcPr>
          <w:p w14:paraId="60979F59" w14:textId="77777777" w:rsidR="007E3E45" w:rsidRPr="0071518E" w:rsidRDefault="007E3E45" w:rsidP="00B51B11">
            <w:pPr>
              <w:spacing w:after="120"/>
              <w:rPr>
                <w:rFonts w:cstheme="minorHAnsi"/>
                <w:color w:val="000000"/>
              </w:rPr>
            </w:pPr>
            <w:r w:rsidRPr="0071518E">
              <w:rPr>
                <w:rFonts w:cstheme="minorHAnsi"/>
                <w:color w:val="000000"/>
              </w:rPr>
              <w:t>10.67</w:t>
            </w:r>
          </w:p>
        </w:tc>
        <w:tc>
          <w:tcPr>
            <w:tcW w:w="1523" w:type="dxa"/>
            <w:vAlign w:val="bottom"/>
          </w:tcPr>
          <w:p w14:paraId="7F9F6AA2"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23CD45CF" w14:textId="77777777" w:rsidTr="6E4BEBA0">
        <w:tc>
          <w:tcPr>
            <w:tcW w:w="5858" w:type="dxa"/>
            <w:vAlign w:val="bottom"/>
          </w:tcPr>
          <w:p w14:paraId="44C1CE7C" w14:textId="77777777" w:rsidR="007E3E45" w:rsidRPr="0071518E" w:rsidRDefault="007E3E45" w:rsidP="007E3E45">
            <w:pPr>
              <w:spacing w:after="120"/>
              <w:rPr>
                <w:rFonts w:cstheme="minorHAnsi"/>
                <w:color w:val="000000"/>
              </w:rPr>
            </w:pPr>
            <w:r w:rsidRPr="0071518E">
              <w:rPr>
                <w:rFonts w:cstheme="minorHAnsi"/>
                <w:color w:val="000000"/>
              </w:rPr>
              <w:t>There is no accounting policy on the investments noted in the balance sheet</w:t>
            </w:r>
          </w:p>
        </w:tc>
        <w:tc>
          <w:tcPr>
            <w:tcW w:w="1635" w:type="dxa"/>
            <w:vAlign w:val="bottom"/>
          </w:tcPr>
          <w:p w14:paraId="56559BC7" w14:textId="77777777" w:rsidR="007E3E45" w:rsidRPr="0071518E" w:rsidRDefault="007E3E45" w:rsidP="00B51B11">
            <w:pPr>
              <w:spacing w:after="120"/>
              <w:rPr>
                <w:rFonts w:cstheme="minorHAnsi"/>
                <w:color w:val="000000"/>
              </w:rPr>
            </w:pPr>
            <w:r w:rsidRPr="0071518E">
              <w:rPr>
                <w:rFonts w:cstheme="minorHAnsi"/>
                <w:color w:val="000000"/>
              </w:rPr>
              <w:t>10.72</w:t>
            </w:r>
          </w:p>
        </w:tc>
        <w:tc>
          <w:tcPr>
            <w:tcW w:w="1523" w:type="dxa"/>
            <w:vAlign w:val="bottom"/>
          </w:tcPr>
          <w:p w14:paraId="15EC4F63"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6882C944" w14:textId="77777777" w:rsidTr="6E4BEBA0">
        <w:tc>
          <w:tcPr>
            <w:tcW w:w="5858" w:type="dxa"/>
            <w:vAlign w:val="bottom"/>
          </w:tcPr>
          <w:p w14:paraId="346C2A50" w14:textId="7EFF361A" w:rsidR="007E3E45" w:rsidRPr="0071518E" w:rsidRDefault="007E3E45" w:rsidP="099F2F4D">
            <w:pPr>
              <w:spacing w:after="120"/>
              <w:rPr>
                <w:color w:val="000000"/>
              </w:rPr>
            </w:pPr>
            <w:r w:rsidRPr="099F2F4D">
              <w:rPr>
                <w:color w:val="000000" w:themeColor="text1"/>
              </w:rPr>
              <w:t>Cash &amp; Cash Equivalents</w:t>
            </w:r>
            <w:r w:rsidR="7572D686" w:rsidRPr="099F2F4D">
              <w:rPr>
                <w:color w:val="000000" w:themeColor="text1"/>
              </w:rPr>
              <w:t>.</w:t>
            </w:r>
            <w:r w:rsidRPr="099F2F4D">
              <w:rPr>
                <w:color w:val="000000" w:themeColor="text1"/>
              </w:rPr>
              <w:t xml:space="preserve"> There is no specific accounting policy to explain how cash/cash equivalents are measured</w:t>
            </w:r>
          </w:p>
        </w:tc>
        <w:tc>
          <w:tcPr>
            <w:tcW w:w="1635" w:type="dxa"/>
            <w:vAlign w:val="bottom"/>
          </w:tcPr>
          <w:p w14:paraId="62BF7226" w14:textId="77777777" w:rsidR="007E3E45" w:rsidRPr="0071518E" w:rsidRDefault="007E3E45" w:rsidP="00B51B11">
            <w:pPr>
              <w:spacing w:after="120"/>
              <w:rPr>
                <w:rFonts w:cstheme="minorHAnsi"/>
                <w:color w:val="000000"/>
              </w:rPr>
            </w:pPr>
            <w:r w:rsidRPr="0071518E">
              <w:rPr>
                <w:rFonts w:cstheme="minorHAnsi"/>
                <w:color w:val="000000"/>
              </w:rPr>
              <w:t>10.75</w:t>
            </w:r>
          </w:p>
        </w:tc>
        <w:tc>
          <w:tcPr>
            <w:tcW w:w="1523" w:type="dxa"/>
            <w:vAlign w:val="bottom"/>
          </w:tcPr>
          <w:p w14:paraId="0312C39B"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2728BBAC" w14:textId="77777777" w:rsidTr="6E4BEBA0">
        <w:tc>
          <w:tcPr>
            <w:tcW w:w="5858" w:type="dxa"/>
            <w:vAlign w:val="bottom"/>
          </w:tcPr>
          <w:p w14:paraId="4C8A0D93" w14:textId="795C172C" w:rsidR="007E3E45" w:rsidRPr="0071518E" w:rsidRDefault="007E3E45" w:rsidP="099F2F4D">
            <w:pPr>
              <w:spacing w:after="120"/>
              <w:rPr>
                <w:color w:val="000000"/>
              </w:rPr>
            </w:pPr>
            <w:r w:rsidRPr="099F2F4D">
              <w:rPr>
                <w:color w:val="000000" w:themeColor="text1"/>
              </w:rPr>
              <w:t>Date on which the accounts (</w:t>
            </w:r>
            <w:proofErr w:type="gramStart"/>
            <w:r w:rsidRPr="099F2F4D">
              <w:rPr>
                <w:color w:val="000000" w:themeColor="text1"/>
              </w:rPr>
              <w:t>i.e.</w:t>
            </w:r>
            <w:proofErr w:type="gramEnd"/>
            <w:r w:rsidRPr="099F2F4D">
              <w:rPr>
                <w:color w:val="000000" w:themeColor="text1"/>
              </w:rPr>
              <w:t xml:space="preserve"> Balance Sheet) were approved by the trustee body is not </w:t>
            </w:r>
            <w:r w:rsidR="07C44DC8" w:rsidRPr="099F2F4D">
              <w:rPr>
                <w:color w:val="000000" w:themeColor="text1"/>
              </w:rPr>
              <w:t>specifically disclosed</w:t>
            </w:r>
          </w:p>
        </w:tc>
        <w:tc>
          <w:tcPr>
            <w:tcW w:w="1635" w:type="dxa"/>
            <w:vAlign w:val="bottom"/>
          </w:tcPr>
          <w:p w14:paraId="7334410B" w14:textId="77777777" w:rsidR="007E3E45" w:rsidRPr="0071518E" w:rsidRDefault="007E3E45" w:rsidP="00B51B11">
            <w:pPr>
              <w:spacing w:after="120"/>
              <w:rPr>
                <w:rFonts w:cstheme="minorHAnsi"/>
                <w:color w:val="000000"/>
              </w:rPr>
            </w:pPr>
            <w:r w:rsidRPr="0071518E">
              <w:rPr>
                <w:rFonts w:cstheme="minorHAnsi"/>
                <w:color w:val="000000"/>
              </w:rPr>
              <w:t>10.8</w:t>
            </w:r>
          </w:p>
        </w:tc>
        <w:tc>
          <w:tcPr>
            <w:tcW w:w="1523" w:type="dxa"/>
            <w:vAlign w:val="bottom"/>
          </w:tcPr>
          <w:p w14:paraId="604E32BD"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6D462169" w14:textId="77777777" w:rsidTr="6E4BEBA0">
        <w:tc>
          <w:tcPr>
            <w:tcW w:w="5858" w:type="dxa"/>
            <w:vAlign w:val="bottom"/>
          </w:tcPr>
          <w:p w14:paraId="524F9257" w14:textId="77777777" w:rsidR="007E3E45" w:rsidRPr="0071518E" w:rsidRDefault="007E3E45" w:rsidP="007E3E45">
            <w:pPr>
              <w:spacing w:after="120"/>
              <w:rPr>
                <w:rFonts w:cstheme="minorHAnsi"/>
                <w:color w:val="000000"/>
              </w:rPr>
            </w:pPr>
            <w:r w:rsidRPr="0071518E">
              <w:rPr>
                <w:rFonts w:cstheme="minorHAnsi"/>
                <w:color w:val="000000"/>
              </w:rPr>
              <w:t xml:space="preserve">Creditors &amp; provisions: The accounting policies note </w:t>
            </w:r>
            <w:r w:rsidR="0071518E">
              <w:rPr>
                <w:rFonts w:cstheme="minorHAnsi"/>
                <w:color w:val="000000"/>
              </w:rPr>
              <w:t>MUST</w:t>
            </w:r>
            <w:r w:rsidRPr="0071518E">
              <w:rPr>
                <w:rFonts w:cstheme="minorHAnsi"/>
                <w:color w:val="000000"/>
              </w:rPr>
              <w:t xml:space="preserve"> explain the basis on which creditors and provisions for liabilities and charges are recognised and measured. "No note to explain how creditors are recognised and measured</w:t>
            </w:r>
          </w:p>
        </w:tc>
        <w:tc>
          <w:tcPr>
            <w:tcW w:w="1635" w:type="dxa"/>
            <w:vAlign w:val="bottom"/>
          </w:tcPr>
          <w:p w14:paraId="177FD739" w14:textId="77777777" w:rsidR="007E3E45" w:rsidRPr="0071518E" w:rsidRDefault="007E3E45" w:rsidP="00B51B11">
            <w:pPr>
              <w:spacing w:after="120"/>
              <w:rPr>
                <w:rFonts w:cstheme="minorHAnsi"/>
                <w:color w:val="000000"/>
              </w:rPr>
            </w:pPr>
            <w:r w:rsidRPr="0071518E">
              <w:rPr>
                <w:rFonts w:cstheme="minorHAnsi"/>
                <w:color w:val="000000"/>
              </w:rPr>
              <w:t>10.80,10.81</w:t>
            </w:r>
          </w:p>
        </w:tc>
        <w:tc>
          <w:tcPr>
            <w:tcW w:w="1523" w:type="dxa"/>
            <w:vAlign w:val="bottom"/>
          </w:tcPr>
          <w:p w14:paraId="07C08C60"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3D7F4E42" w14:textId="77777777" w:rsidTr="6E4BEBA0">
        <w:tc>
          <w:tcPr>
            <w:tcW w:w="5858" w:type="dxa"/>
            <w:vAlign w:val="bottom"/>
          </w:tcPr>
          <w:p w14:paraId="4C53100A" w14:textId="77777777" w:rsidR="007E3E45" w:rsidRPr="0071518E" w:rsidRDefault="007E3E45" w:rsidP="007E3E45">
            <w:pPr>
              <w:spacing w:after="120"/>
              <w:rPr>
                <w:rFonts w:cstheme="minorHAnsi"/>
                <w:color w:val="000000"/>
              </w:rPr>
            </w:pPr>
            <w:r w:rsidRPr="0071518E">
              <w:rPr>
                <w:rFonts w:cstheme="minorHAnsi"/>
                <w:color w:val="000000"/>
              </w:rPr>
              <w:t>No recognition and measurement basis for creditors and provisions included in accounting policies</w:t>
            </w:r>
          </w:p>
        </w:tc>
        <w:tc>
          <w:tcPr>
            <w:tcW w:w="1635" w:type="dxa"/>
            <w:vAlign w:val="bottom"/>
          </w:tcPr>
          <w:p w14:paraId="167BBFF6" w14:textId="77777777" w:rsidR="007E3E45" w:rsidRPr="0071518E" w:rsidRDefault="007E3E45" w:rsidP="00B51B11">
            <w:pPr>
              <w:spacing w:after="120"/>
              <w:rPr>
                <w:rFonts w:cstheme="minorHAnsi"/>
                <w:color w:val="000000"/>
              </w:rPr>
            </w:pPr>
            <w:r w:rsidRPr="0071518E">
              <w:rPr>
                <w:rFonts w:cstheme="minorHAnsi"/>
                <w:color w:val="000000"/>
              </w:rPr>
              <w:t>10.81</w:t>
            </w:r>
          </w:p>
        </w:tc>
        <w:tc>
          <w:tcPr>
            <w:tcW w:w="1523" w:type="dxa"/>
            <w:vAlign w:val="bottom"/>
          </w:tcPr>
          <w:p w14:paraId="6DB6A457"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52B3ED85" w14:textId="77777777" w:rsidTr="6E4BEBA0">
        <w:tc>
          <w:tcPr>
            <w:tcW w:w="5858" w:type="dxa"/>
            <w:vAlign w:val="bottom"/>
          </w:tcPr>
          <w:p w14:paraId="04ED92F8" w14:textId="77777777" w:rsidR="007E3E45" w:rsidRPr="0071518E" w:rsidRDefault="007E3E45" w:rsidP="007E3E45">
            <w:pPr>
              <w:spacing w:after="120"/>
              <w:rPr>
                <w:rFonts w:cstheme="minorHAnsi"/>
                <w:color w:val="000000"/>
              </w:rPr>
            </w:pPr>
            <w:r w:rsidRPr="0071518E">
              <w:rPr>
                <w:rFonts w:cstheme="minorHAnsi"/>
                <w:color w:val="000000"/>
              </w:rPr>
              <w:lastRenderedPageBreak/>
              <w:t xml:space="preserve">No disclosure on the nature of accrued awardee commitments </w:t>
            </w:r>
          </w:p>
        </w:tc>
        <w:tc>
          <w:tcPr>
            <w:tcW w:w="1635" w:type="dxa"/>
            <w:vAlign w:val="bottom"/>
          </w:tcPr>
          <w:p w14:paraId="445BF356" w14:textId="77777777" w:rsidR="007E3E45" w:rsidRPr="0071518E" w:rsidRDefault="007E3E45" w:rsidP="00B51B11">
            <w:pPr>
              <w:spacing w:after="120"/>
              <w:rPr>
                <w:rFonts w:cstheme="minorHAnsi"/>
                <w:color w:val="000000"/>
              </w:rPr>
            </w:pPr>
            <w:r w:rsidRPr="0071518E">
              <w:rPr>
                <w:rFonts w:cstheme="minorHAnsi"/>
                <w:color w:val="000000"/>
              </w:rPr>
              <w:t>10.82</w:t>
            </w:r>
          </w:p>
        </w:tc>
        <w:tc>
          <w:tcPr>
            <w:tcW w:w="1523" w:type="dxa"/>
            <w:vAlign w:val="bottom"/>
          </w:tcPr>
          <w:p w14:paraId="696A6E05"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4F6694A8" w14:textId="77777777" w:rsidTr="6E4BEBA0">
        <w:tc>
          <w:tcPr>
            <w:tcW w:w="5858" w:type="dxa"/>
            <w:vAlign w:val="bottom"/>
          </w:tcPr>
          <w:p w14:paraId="024AFCFC" w14:textId="439364E7" w:rsidR="007E3E45" w:rsidRPr="0071518E" w:rsidRDefault="007E3E45" w:rsidP="099F2F4D">
            <w:pPr>
              <w:spacing w:after="120"/>
              <w:rPr>
                <w:color w:val="000000"/>
              </w:rPr>
            </w:pPr>
            <w:r w:rsidRPr="099F2F4D">
              <w:rPr>
                <w:color w:val="000000" w:themeColor="text1"/>
              </w:rPr>
              <w:t xml:space="preserve"> No analysis of reconciling the opening and closing carrying amounts of provision was noted. </w:t>
            </w:r>
            <w:r w:rsidR="2F65057B" w:rsidRPr="099F2F4D">
              <w:rPr>
                <w:color w:val="000000" w:themeColor="text1"/>
              </w:rPr>
              <w:t>Only ending</w:t>
            </w:r>
            <w:r w:rsidRPr="099F2F4D">
              <w:rPr>
                <w:color w:val="000000" w:themeColor="text1"/>
              </w:rPr>
              <w:t xml:space="preserve"> balances were disclosed in Note 15.</w:t>
            </w:r>
          </w:p>
        </w:tc>
        <w:tc>
          <w:tcPr>
            <w:tcW w:w="1635" w:type="dxa"/>
            <w:vAlign w:val="bottom"/>
          </w:tcPr>
          <w:p w14:paraId="09CBAE7C" w14:textId="77777777" w:rsidR="007E3E45" w:rsidRPr="0071518E" w:rsidRDefault="007E3E45" w:rsidP="00B51B11">
            <w:pPr>
              <w:spacing w:after="120"/>
              <w:rPr>
                <w:rFonts w:cstheme="minorHAnsi"/>
                <w:color w:val="000000"/>
              </w:rPr>
            </w:pPr>
            <w:r w:rsidRPr="0071518E">
              <w:rPr>
                <w:rFonts w:cstheme="minorHAnsi"/>
                <w:color w:val="000000"/>
              </w:rPr>
              <w:t>10.83</w:t>
            </w:r>
          </w:p>
        </w:tc>
        <w:tc>
          <w:tcPr>
            <w:tcW w:w="1523" w:type="dxa"/>
            <w:vAlign w:val="bottom"/>
          </w:tcPr>
          <w:p w14:paraId="26BD3A3F"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33C8CF60" w14:textId="77777777" w:rsidTr="6E4BEBA0">
        <w:tc>
          <w:tcPr>
            <w:tcW w:w="5858" w:type="dxa"/>
            <w:vAlign w:val="bottom"/>
          </w:tcPr>
          <w:p w14:paraId="62345E00" w14:textId="77777777" w:rsidR="007E3E45" w:rsidRPr="0071518E" w:rsidRDefault="007E3E45" w:rsidP="007E3E45">
            <w:pPr>
              <w:spacing w:after="120"/>
              <w:rPr>
                <w:rFonts w:cstheme="minorHAnsi"/>
                <w:color w:val="000000"/>
              </w:rPr>
            </w:pPr>
            <w:r w:rsidRPr="0071518E">
              <w:rPr>
                <w:rFonts w:cstheme="minorHAnsi"/>
                <w:color w:val="000000"/>
              </w:rPr>
              <w:t xml:space="preserve">Items on the balance sheet are not analysed by class of fund (restricted, unrestricted income and endowment) [OPTIONAL] </w:t>
            </w:r>
          </w:p>
        </w:tc>
        <w:tc>
          <w:tcPr>
            <w:tcW w:w="1635" w:type="dxa"/>
            <w:vAlign w:val="bottom"/>
          </w:tcPr>
          <w:p w14:paraId="7D8AD9AD" w14:textId="77777777" w:rsidR="007E3E45" w:rsidRPr="0071518E" w:rsidRDefault="007E3E45" w:rsidP="00B51B11">
            <w:pPr>
              <w:spacing w:after="120"/>
              <w:rPr>
                <w:rFonts w:cstheme="minorHAnsi"/>
                <w:color w:val="000000"/>
              </w:rPr>
            </w:pPr>
            <w:r w:rsidRPr="0071518E">
              <w:rPr>
                <w:rFonts w:cstheme="minorHAnsi"/>
                <w:color w:val="000000"/>
              </w:rPr>
              <w:t>10.9</w:t>
            </w:r>
          </w:p>
        </w:tc>
        <w:tc>
          <w:tcPr>
            <w:tcW w:w="1523" w:type="dxa"/>
            <w:vAlign w:val="bottom"/>
          </w:tcPr>
          <w:p w14:paraId="35248F0E"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6EC7FC4E" w14:textId="77777777" w:rsidTr="6E4BEBA0">
        <w:tc>
          <w:tcPr>
            <w:tcW w:w="5858" w:type="dxa"/>
            <w:vAlign w:val="bottom"/>
          </w:tcPr>
          <w:p w14:paraId="2CE36A6F" w14:textId="5C48B2F4" w:rsidR="007E3E45" w:rsidRPr="0071518E" w:rsidRDefault="007E3E45" w:rsidP="007E3E45">
            <w:pPr>
              <w:spacing w:after="120"/>
              <w:rPr>
                <w:rFonts w:cstheme="minorHAnsi"/>
                <w:color w:val="000000"/>
              </w:rPr>
            </w:pPr>
            <w:r w:rsidRPr="0071518E">
              <w:rPr>
                <w:rFonts w:cstheme="minorHAnsi"/>
                <w:color w:val="000000"/>
              </w:rPr>
              <w:t>Financial instruments: No disclosure o</w:t>
            </w:r>
            <w:r w:rsidR="005C7310">
              <w:rPr>
                <w:rFonts w:cstheme="minorHAnsi"/>
                <w:color w:val="000000"/>
              </w:rPr>
              <w:t>r</w:t>
            </w:r>
            <w:r w:rsidRPr="0071518E">
              <w:rPr>
                <w:rFonts w:cstheme="minorHAnsi"/>
                <w:color w:val="000000"/>
              </w:rPr>
              <w:t xml:space="preserve"> notes for financial instrument</w:t>
            </w:r>
          </w:p>
        </w:tc>
        <w:tc>
          <w:tcPr>
            <w:tcW w:w="1635" w:type="dxa"/>
            <w:vAlign w:val="bottom"/>
          </w:tcPr>
          <w:p w14:paraId="6693109D" w14:textId="77777777" w:rsidR="007E3E45" w:rsidRPr="0071518E" w:rsidRDefault="007E3E45" w:rsidP="00B51B11">
            <w:pPr>
              <w:spacing w:after="120"/>
              <w:rPr>
                <w:rFonts w:cstheme="minorHAnsi"/>
                <w:color w:val="000000"/>
              </w:rPr>
            </w:pPr>
            <w:r w:rsidRPr="0071518E">
              <w:rPr>
                <w:rFonts w:cstheme="minorHAnsi"/>
                <w:color w:val="000000"/>
              </w:rPr>
              <w:t>11.35</w:t>
            </w:r>
          </w:p>
        </w:tc>
        <w:tc>
          <w:tcPr>
            <w:tcW w:w="1523" w:type="dxa"/>
            <w:vAlign w:val="bottom"/>
          </w:tcPr>
          <w:p w14:paraId="30BD029F"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527DA7B3" w14:textId="77777777" w:rsidTr="6E4BEBA0">
        <w:tc>
          <w:tcPr>
            <w:tcW w:w="5858" w:type="dxa"/>
            <w:vAlign w:val="bottom"/>
          </w:tcPr>
          <w:p w14:paraId="0615E929" w14:textId="77777777" w:rsidR="007E3E45" w:rsidRPr="0071518E" w:rsidRDefault="007E3E45" w:rsidP="007E3E45">
            <w:pPr>
              <w:spacing w:after="120"/>
              <w:rPr>
                <w:rFonts w:cstheme="minorHAnsi"/>
                <w:color w:val="000000"/>
              </w:rPr>
            </w:pPr>
            <w:r w:rsidRPr="0071518E">
              <w:rPr>
                <w:rFonts w:cstheme="minorHAnsi"/>
                <w:color w:val="000000"/>
              </w:rPr>
              <w:t>There is no note or disclosure in relation to post balance sheet events.</w:t>
            </w:r>
          </w:p>
        </w:tc>
        <w:tc>
          <w:tcPr>
            <w:tcW w:w="1635" w:type="dxa"/>
            <w:vAlign w:val="bottom"/>
          </w:tcPr>
          <w:p w14:paraId="3357F213" w14:textId="77777777" w:rsidR="007E3E45" w:rsidRPr="0071518E" w:rsidRDefault="007E3E45" w:rsidP="00B51B11">
            <w:pPr>
              <w:spacing w:after="120"/>
              <w:rPr>
                <w:rFonts w:cstheme="minorHAnsi"/>
                <w:color w:val="000000"/>
              </w:rPr>
            </w:pPr>
            <w:r w:rsidRPr="0071518E">
              <w:rPr>
                <w:rFonts w:cstheme="minorHAnsi"/>
                <w:color w:val="000000"/>
              </w:rPr>
              <w:t>13.8</w:t>
            </w:r>
          </w:p>
        </w:tc>
        <w:tc>
          <w:tcPr>
            <w:tcW w:w="1523" w:type="dxa"/>
            <w:vAlign w:val="bottom"/>
          </w:tcPr>
          <w:p w14:paraId="0EA1DEA1"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54C677D2" w14:textId="77777777" w:rsidTr="6E4BEBA0">
        <w:tc>
          <w:tcPr>
            <w:tcW w:w="5858" w:type="dxa"/>
            <w:vAlign w:val="bottom"/>
          </w:tcPr>
          <w:p w14:paraId="3BC4D501" w14:textId="77777777" w:rsidR="0071518E" w:rsidRDefault="007E3E45" w:rsidP="007E3E45">
            <w:pPr>
              <w:spacing w:after="120"/>
              <w:rPr>
                <w:rFonts w:cstheme="minorHAnsi"/>
                <w:color w:val="000000"/>
              </w:rPr>
            </w:pPr>
            <w:r w:rsidRPr="0071518E">
              <w:rPr>
                <w:rFonts w:cstheme="minorHAnsi"/>
                <w:color w:val="000000"/>
              </w:rPr>
              <w:t xml:space="preserve">Cashflow: Charities </w:t>
            </w:r>
            <w:r w:rsidR="0071518E">
              <w:rPr>
                <w:rFonts w:cstheme="minorHAnsi"/>
                <w:color w:val="000000"/>
              </w:rPr>
              <w:t>MUST</w:t>
            </w:r>
            <w:r w:rsidRPr="0071518E">
              <w:rPr>
                <w:rFonts w:cstheme="minorHAnsi"/>
                <w:color w:val="000000"/>
              </w:rPr>
              <w:t xml:space="preserve"> provide a reconciliation to show how the net income / (expenditure) presented in the </w:t>
            </w:r>
            <w:proofErr w:type="spellStart"/>
            <w:r w:rsidRPr="0071518E">
              <w:rPr>
                <w:rFonts w:cstheme="minorHAnsi"/>
                <w:color w:val="000000"/>
              </w:rPr>
              <w:t>SoFA</w:t>
            </w:r>
            <w:proofErr w:type="spellEnd"/>
            <w:r w:rsidRPr="0071518E">
              <w:rPr>
                <w:rFonts w:cstheme="minorHAnsi"/>
                <w:color w:val="000000"/>
              </w:rPr>
              <w:t xml:space="preserve"> has been adjusted to arrive at the cash flows from operating activities presented in the statement of cash flows. </w:t>
            </w:r>
          </w:p>
          <w:p w14:paraId="742551FE" w14:textId="77777777" w:rsidR="007E3E45" w:rsidRPr="0071518E" w:rsidRDefault="007E3E45" w:rsidP="007E3E45">
            <w:pPr>
              <w:spacing w:after="120"/>
              <w:rPr>
                <w:rFonts w:cstheme="minorHAnsi"/>
                <w:color w:val="000000"/>
              </w:rPr>
            </w:pPr>
            <w:r w:rsidRPr="0071518E">
              <w:rPr>
                <w:rFonts w:cstheme="minorHAnsi"/>
                <w:color w:val="000000"/>
              </w:rPr>
              <w:t xml:space="preserve">The format of the cashflow in incorrect - Movement in debtors and creditors is classified under "Movements in working capital" rather than "Operating Activities" </w:t>
            </w:r>
          </w:p>
        </w:tc>
        <w:tc>
          <w:tcPr>
            <w:tcW w:w="1635" w:type="dxa"/>
            <w:vAlign w:val="bottom"/>
          </w:tcPr>
          <w:p w14:paraId="6450DF2E" w14:textId="77777777" w:rsidR="007E3E45" w:rsidRPr="0071518E" w:rsidRDefault="007E3E45" w:rsidP="00B51B11">
            <w:pPr>
              <w:spacing w:after="120"/>
              <w:rPr>
                <w:rFonts w:cstheme="minorHAnsi"/>
                <w:color w:val="000000"/>
              </w:rPr>
            </w:pPr>
            <w:r w:rsidRPr="0071518E">
              <w:rPr>
                <w:rFonts w:cstheme="minorHAnsi"/>
                <w:color w:val="000000"/>
              </w:rPr>
              <w:t>14.17</w:t>
            </w:r>
          </w:p>
        </w:tc>
        <w:tc>
          <w:tcPr>
            <w:tcW w:w="1523" w:type="dxa"/>
            <w:vAlign w:val="bottom"/>
          </w:tcPr>
          <w:p w14:paraId="55156886"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487535B7" w14:textId="77777777" w:rsidTr="6E4BEBA0">
        <w:tc>
          <w:tcPr>
            <w:tcW w:w="5858" w:type="dxa"/>
            <w:vAlign w:val="bottom"/>
          </w:tcPr>
          <w:p w14:paraId="18FBEB93" w14:textId="77777777" w:rsidR="007E3E45" w:rsidRPr="0071518E" w:rsidRDefault="007E3E45" w:rsidP="007E3E45">
            <w:pPr>
              <w:spacing w:after="120"/>
              <w:rPr>
                <w:rFonts w:cstheme="minorHAnsi"/>
                <w:color w:val="000000"/>
              </w:rPr>
            </w:pPr>
            <w:r w:rsidRPr="0071518E">
              <w:rPr>
                <w:rFonts w:cstheme="minorHAnsi"/>
                <w:color w:val="000000"/>
              </w:rPr>
              <w:t xml:space="preserve">Cashflows have not been distinguished between restricted and unrestricted </w:t>
            </w:r>
          </w:p>
        </w:tc>
        <w:tc>
          <w:tcPr>
            <w:tcW w:w="1635" w:type="dxa"/>
            <w:vAlign w:val="bottom"/>
          </w:tcPr>
          <w:p w14:paraId="739A1700" w14:textId="77777777" w:rsidR="007E3E45" w:rsidRPr="0071518E" w:rsidRDefault="007E3E45" w:rsidP="00B51B11">
            <w:pPr>
              <w:spacing w:after="120"/>
              <w:rPr>
                <w:rFonts w:cstheme="minorHAnsi"/>
                <w:color w:val="000000"/>
              </w:rPr>
            </w:pPr>
            <w:r w:rsidRPr="0071518E">
              <w:rPr>
                <w:rFonts w:cstheme="minorHAnsi"/>
                <w:color w:val="000000"/>
              </w:rPr>
              <w:t>14.7</w:t>
            </w:r>
          </w:p>
        </w:tc>
        <w:tc>
          <w:tcPr>
            <w:tcW w:w="1523" w:type="dxa"/>
            <w:vAlign w:val="bottom"/>
          </w:tcPr>
          <w:p w14:paraId="4A513789"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1CEFBBCB" w14:textId="77777777" w:rsidTr="6E4BEBA0">
        <w:tc>
          <w:tcPr>
            <w:tcW w:w="5858" w:type="dxa"/>
            <w:vAlign w:val="bottom"/>
          </w:tcPr>
          <w:p w14:paraId="6DBA4696" w14:textId="46449BA8" w:rsidR="007E3E45" w:rsidRPr="0071518E" w:rsidRDefault="007E3E45" w:rsidP="099F2F4D">
            <w:pPr>
              <w:spacing w:after="120"/>
              <w:rPr>
                <w:color w:val="000000"/>
              </w:rPr>
            </w:pPr>
            <w:r w:rsidRPr="099F2F4D">
              <w:rPr>
                <w:color w:val="000000" w:themeColor="text1"/>
              </w:rPr>
              <w:t xml:space="preserve">A columnar presentation has not been adopted to distinguish between cashflows relating </w:t>
            </w:r>
            <w:r w:rsidR="562F6CE9" w:rsidRPr="099F2F4D">
              <w:rPr>
                <w:color w:val="000000" w:themeColor="text1"/>
              </w:rPr>
              <w:t>to restricted</w:t>
            </w:r>
            <w:r w:rsidRPr="099F2F4D">
              <w:rPr>
                <w:color w:val="000000" w:themeColor="text1"/>
              </w:rPr>
              <w:t xml:space="preserve"> funds and cashflows relating to unrestricted funds.</w:t>
            </w:r>
          </w:p>
        </w:tc>
        <w:tc>
          <w:tcPr>
            <w:tcW w:w="1635" w:type="dxa"/>
            <w:vAlign w:val="bottom"/>
          </w:tcPr>
          <w:p w14:paraId="4C9C65B3" w14:textId="77777777" w:rsidR="007E3E45" w:rsidRPr="0071518E" w:rsidRDefault="007E3E45" w:rsidP="00B51B11">
            <w:pPr>
              <w:spacing w:after="120"/>
              <w:rPr>
                <w:rFonts w:cstheme="minorHAnsi"/>
                <w:color w:val="000000"/>
              </w:rPr>
            </w:pPr>
            <w:r w:rsidRPr="0071518E">
              <w:rPr>
                <w:rFonts w:cstheme="minorHAnsi"/>
                <w:color w:val="000000"/>
              </w:rPr>
              <w:t>14.7</w:t>
            </w:r>
          </w:p>
        </w:tc>
        <w:tc>
          <w:tcPr>
            <w:tcW w:w="1523" w:type="dxa"/>
            <w:vAlign w:val="bottom"/>
          </w:tcPr>
          <w:p w14:paraId="2460C187"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3540E488" w14:textId="77777777" w:rsidTr="6E4BEBA0">
        <w:tc>
          <w:tcPr>
            <w:tcW w:w="5858" w:type="dxa"/>
            <w:vAlign w:val="bottom"/>
          </w:tcPr>
          <w:p w14:paraId="748A1FFE" w14:textId="4B6FDC3D" w:rsidR="007E3E45" w:rsidRPr="0071518E" w:rsidRDefault="007E3E45" w:rsidP="099F2F4D">
            <w:pPr>
              <w:spacing w:after="120"/>
              <w:rPr>
                <w:color w:val="000000"/>
              </w:rPr>
            </w:pPr>
            <w:r w:rsidRPr="099F2F4D">
              <w:rPr>
                <w:color w:val="000000" w:themeColor="text1"/>
              </w:rPr>
              <w:t xml:space="preserve">It is not clear that the combined Trustees/Director's report in the front half of the FS contains a </w:t>
            </w:r>
            <w:r w:rsidR="5D3F074D" w:rsidRPr="099F2F4D">
              <w:rPr>
                <w:color w:val="000000" w:themeColor="text1"/>
              </w:rPr>
              <w:t>director's</w:t>
            </w:r>
            <w:r w:rsidRPr="099F2F4D">
              <w:rPr>
                <w:color w:val="000000" w:themeColor="text1"/>
              </w:rPr>
              <w:t xml:space="preserve"> report as required by company law. </w:t>
            </w:r>
          </w:p>
        </w:tc>
        <w:tc>
          <w:tcPr>
            <w:tcW w:w="1635" w:type="dxa"/>
            <w:vAlign w:val="bottom"/>
          </w:tcPr>
          <w:p w14:paraId="2AF2DF03" w14:textId="77777777" w:rsidR="007E3E45" w:rsidRPr="0071518E" w:rsidRDefault="007E3E45" w:rsidP="00B51B11">
            <w:pPr>
              <w:spacing w:after="120"/>
              <w:rPr>
                <w:rFonts w:cstheme="minorHAnsi"/>
                <w:color w:val="000000"/>
              </w:rPr>
            </w:pPr>
            <w:r w:rsidRPr="0071518E">
              <w:rPr>
                <w:rFonts w:cstheme="minorHAnsi"/>
                <w:color w:val="000000"/>
              </w:rPr>
              <w:t>15.6</w:t>
            </w:r>
          </w:p>
        </w:tc>
        <w:tc>
          <w:tcPr>
            <w:tcW w:w="1523" w:type="dxa"/>
            <w:vAlign w:val="bottom"/>
          </w:tcPr>
          <w:p w14:paraId="19576A3B"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038C366B" w14:textId="77777777" w:rsidTr="6E4BEBA0">
        <w:tc>
          <w:tcPr>
            <w:tcW w:w="5858" w:type="dxa"/>
            <w:vAlign w:val="bottom"/>
          </w:tcPr>
          <w:p w14:paraId="63F801BC" w14:textId="1C73C982" w:rsidR="007E3E45" w:rsidRPr="0071518E" w:rsidRDefault="007E3E45" w:rsidP="099F2F4D">
            <w:pPr>
              <w:spacing w:after="120"/>
              <w:rPr>
                <w:color w:val="000000"/>
              </w:rPr>
            </w:pPr>
            <w:r w:rsidRPr="099F2F4D">
              <w:rPr>
                <w:color w:val="000000" w:themeColor="text1"/>
              </w:rPr>
              <w:t xml:space="preserve">Total amount of charitable donations was disclosed. However, there was no detailed description </w:t>
            </w:r>
            <w:r w:rsidR="1053EA8B" w:rsidRPr="099F2F4D">
              <w:rPr>
                <w:color w:val="000000" w:themeColor="text1"/>
              </w:rPr>
              <w:t>on the</w:t>
            </w:r>
            <w:r w:rsidRPr="099F2F4D">
              <w:rPr>
                <w:color w:val="000000" w:themeColor="text1"/>
              </w:rPr>
              <w:t xml:space="preserve"> activities being funded.</w:t>
            </w:r>
          </w:p>
        </w:tc>
        <w:tc>
          <w:tcPr>
            <w:tcW w:w="1635" w:type="dxa"/>
            <w:vAlign w:val="bottom"/>
          </w:tcPr>
          <w:p w14:paraId="65E7FCF2" w14:textId="77777777" w:rsidR="007E3E45" w:rsidRPr="0071518E" w:rsidRDefault="007E3E45" w:rsidP="00B51B11">
            <w:pPr>
              <w:spacing w:after="120"/>
              <w:rPr>
                <w:rFonts w:cstheme="minorHAnsi"/>
                <w:color w:val="000000"/>
              </w:rPr>
            </w:pPr>
            <w:r w:rsidRPr="0071518E">
              <w:rPr>
                <w:rFonts w:cstheme="minorHAnsi"/>
                <w:color w:val="000000"/>
              </w:rPr>
              <w:t>16.8, 16.22, 16.25</w:t>
            </w:r>
          </w:p>
        </w:tc>
        <w:tc>
          <w:tcPr>
            <w:tcW w:w="1523" w:type="dxa"/>
            <w:vAlign w:val="bottom"/>
          </w:tcPr>
          <w:p w14:paraId="12482ED5"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027B39C1" w14:textId="77777777" w:rsidTr="6E4BEBA0">
        <w:tc>
          <w:tcPr>
            <w:tcW w:w="5858" w:type="dxa"/>
            <w:vAlign w:val="bottom"/>
          </w:tcPr>
          <w:p w14:paraId="01CB76F4" w14:textId="77777777" w:rsidR="007E3E45" w:rsidRPr="0071518E" w:rsidRDefault="007E3E45" w:rsidP="007E3E45">
            <w:pPr>
              <w:spacing w:after="120"/>
              <w:rPr>
                <w:rFonts w:cstheme="minorHAnsi"/>
                <w:color w:val="000000"/>
              </w:rPr>
            </w:pPr>
            <w:r w:rsidRPr="0071518E">
              <w:rPr>
                <w:rFonts w:cstheme="minorHAnsi"/>
                <w:color w:val="000000"/>
              </w:rPr>
              <w:t xml:space="preserve">Rent is included in expenses but there is not operating lease note in the financial statements. </w:t>
            </w:r>
          </w:p>
        </w:tc>
        <w:tc>
          <w:tcPr>
            <w:tcW w:w="1635" w:type="dxa"/>
            <w:vAlign w:val="bottom"/>
          </w:tcPr>
          <w:p w14:paraId="36A2398A" w14:textId="77777777" w:rsidR="007E3E45" w:rsidRPr="0071518E" w:rsidRDefault="007E3E45" w:rsidP="00B51B11">
            <w:pPr>
              <w:spacing w:after="120"/>
              <w:rPr>
                <w:rFonts w:cstheme="minorHAnsi"/>
                <w:color w:val="000000"/>
              </w:rPr>
            </w:pPr>
            <w:r w:rsidRPr="0071518E">
              <w:rPr>
                <w:rFonts w:cstheme="minorHAnsi"/>
                <w:color w:val="000000"/>
              </w:rPr>
              <w:t>20.16</w:t>
            </w:r>
          </w:p>
        </w:tc>
        <w:tc>
          <w:tcPr>
            <w:tcW w:w="1523" w:type="dxa"/>
            <w:vAlign w:val="bottom"/>
          </w:tcPr>
          <w:p w14:paraId="109D992B"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360FA5DA" w14:textId="77777777" w:rsidTr="6E4BEBA0">
        <w:tc>
          <w:tcPr>
            <w:tcW w:w="5858" w:type="dxa"/>
            <w:vAlign w:val="bottom"/>
          </w:tcPr>
          <w:p w14:paraId="3855A168" w14:textId="100345D6" w:rsidR="007E3E45" w:rsidRPr="0071518E" w:rsidRDefault="007E3E45" w:rsidP="099F2F4D">
            <w:pPr>
              <w:spacing w:after="120"/>
              <w:rPr>
                <w:color w:val="000000"/>
              </w:rPr>
            </w:pPr>
            <w:r w:rsidRPr="099F2F4D">
              <w:rPr>
                <w:color w:val="000000" w:themeColor="text1"/>
              </w:rPr>
              <w:t xml:space="preserve">There is no numerical information provided in the annual report about the resources spent was per activity / programme was disclosed. Hence, cannot be referred on the analysis provided in </w:t>
            </w:r>
            <w:r w:rsidR="5E2341B2" w:rsidRPr="099F2F4D">
              <w:rPr>
                <w:color w:val="000000" w:themeColor="text1"/>
              </w:rPr>
              <w:t>the accounts</w:t>
            </w:r>
            <w:r w:rsidRPr="099F2F4D">
              <w:rPr>
                <w:color w:val="000000" w:themeColor="text1"/>
              </w:rPr>
              <w:t>.</w:t>
            </w:r>
          </w:p>
        </w:tc>
        <w:tc>
          <w:tcPr>
            <w:tcW w:w="1635" w:type="dxa"/>
            <w:vAlign w:val="bottom"/>
          </w:tcPr>
          <w:p w14:paraId="0D2E575A" w14:textId="77777777" w:rsidR="007E3E45" w:rsidRPr="0071518E" w:rsidRDefault="007E3E45" w:rsidP="00B51B11">
            <w:pPr>
              <w:spacing w:after="120"/>
              <w:rPr>
                <w:rFonts w:cstheme="minorHAnsi"/>
                <w:color w:val="000000"/>
              </w:rPr>
            </w:pPr>
            <w:r w:rsidRPr="0071518E">
              <w:rPr>
                <w:rFonts w:cstheme="minorHAnsi"/>
                <w:color w:val="000000"/>
              </w:rPr>
              <w:t>1.19, 4.5,8.6</w:t>
            </w:r>
          </w:p>
        </w:tc>
        <w:tc>
          <w:tcPr>
            <w:tcW w:w="1523" w:type="dxa"/>
            <w:vAlign w:val="bottom"/>
          </w:tcPr>
          <w:p w14:paraId="6D48334C"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572498B4" w14:textId="77777777" w:rsidTr="6E4BEBA0">
        <w:tc>
          <w:tcPr>
            <w:tcW w:w="5858" w:type="dxa"/>
            <w:vAlign w:val="bottom"/>
          </w:tcPr>
          <w:p w14:paraId="475F29A2" w14:textId="77777777" w:rsidR="007E3E45" w:rsidRPr="0071518E" w:rsidRDefault="007E3E45" w:rsidP="007E3E45">
            <w:pPr>
              <w:spacing w:after="120"/>
              <w:rPr>
                <w:rFonts w:cstheme="minorHAnsi"/>
                <w:color w:val="000000"/>
              </w:rPr>
            </w:pPr>
            <w:r w:rsidRPr="0071518E">
              <w:rPr>
                <w:rFonts w:cstheme="minorHAnsi"/>
                <w:color w:val="000000"/>
              </w:rPr>
              <w:t xml:space="preserve">Reserves policy of organisation does not outline and compare the reserves as noted above. </w:t>
            </w:r>
          </w:p>
        </w:tc>
        <w:tc>
          <w:tcPr>
            <w:tcW w:w="1635" w:type="dxa"/>
            <w:vAlign w:val="bottom"/>
          </w:tcPr>
          <w:p w14:paraId="4A1E05C5" w14:textId="77777777" w:rsidR="007E3E45" w:rsidRPr="0071518E" w:rsidRDefault="007E3E45" w:rsidP="00B51B11">
            <w:pPr>
              <w:spacing w:after="120"/>
              <w:rPr>
                <w:rFonts w:cstheme="minorHAnsi"/>
                <w:color w:val="000000"/>
              </w:rPr>
            </w:pPr>
            <w:r w:rsidRPr="0071518E">
              <w:rPr>
                <w:rFonts w:cstheme="minorHAnsi"/>
                <w:color w:val="000000"/>
              </w:rPr>
              <w:t>1.22, 1.48</w:t>
            </w:r>
          </w:p>
        </w:tc>
        <w:tc>
          <w:tcPr>
            <w:tcW w:w="1523" w:type="dxa"/>
            <w:vAlign w:val="bottom"/>
          </w:tcPr>
          <w:p w14:paraId="615A2A5A"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2ED4A6A0" w14:textId="77777777" w:rsidTr="6E4BEBA0">
        <w:tc>
          <w:tcPr>
            <w:tcW w:w="5858" w:type="dxa"/>
            <w:vAlign w:val="bottom"/>
          </w:tcPr>
          <w:p w14:paraId="27246D00" w14:textId="77777777" w:rsidR="007E3E45" w:rsidRPr="0071518E" w:rsidRDefault="007E3E45" w:rsidP="007E3E45">
            <w:pPr>
              <w:spacing w:after="120"/>
              <w:rPr>
                <w:rFonts w:cstheme="minorHAnsi"/>
                <w:color w:val="000000"/>
              </w:rPr>
            </w:pPr>
            <w:r w:rsidRPr="0071518E">
              <w:rPr>
                <w:rFonts w:cstheme="minorHAnsi"/>
                <w:color w:val="000000"/>
              </w:rPr>
              <w:t>The Annual Report does not provide detail on the methods used to recruit and appoint new charity trustees.</w:t>
            </w:r>
          </w:p>
        </w:tc>
        <w:tc>
          <w:tcPr>
            <w:tcW w:w="1635" w:type="dxa"/>
            <w:vAlign w:val="bottom"/>
          </w:tcPr>
          <w:p w14:paraId="766E3562" w14:textId="77777777" w:rsidR="007E3E45" w:rsidRPr="0071518E" w:rsidRDefault="007E3E45" w:rsidP="00B51B11">
            <w:pPr>
              <w:spacing w:after="120"/>
              <w:rPr>
                <w:rFonts w:cstheme="minorHAnsi"/>
                <w:color w:val="000000"/>
              </w:rPr>
            </w:pPr>
            <w:r w:rsidRPr="0071518E">
              <w:rPr>
                <w:rFonts w:cstheme="minorHAnsi"/>
                <w:color w:val="000000"/>
              </w:rPr>
              <w:t>1.25&amp;1.51</w:t>
            </w:r>
          </w:p>
        </w:tc>
        <w:tc>
          <w:tcPr>
            <w:tcW w:w="1523" w:type="dxa"/>
            <w:vAlign w:val="bottom"/>
          </w:tcPr>
          <w:p w14:paraId="591FB735"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159E030A" w14:textId="77777777" w:rsidTr="6E4BEBA0">
        <w:tc>
          <w:tcPr>
            <w:tcW w:w="5858" w:type="dxa"/>
            <w:vAlign w:val="bottom"/>
          </w:tcPr>
          <w:p w14:paraId="3395430D" w14:textId="50C83B54" w:rsidR="007E3E45" w:rsidRPr="0071518E" w:rsidRDefault="50727DD2" w:rsidP="099F2F4D">
            <w:pPr>
              <w:spacing w:after="120"/>
              <w:rPr>
                <w:color w:val="000000"/>
              </w:rPr>
            </w:pPr>
            <w:r w:rsidRPr="099F2F4D">
              <w:rPr>
                <w:color w:val="000000" w:themeColor="text1"/>
              </w:rPr>
              <w:t>P</w:t>
            </w:r>
            <w:r w:rsidR="007E3E45" w:rsidRPr="099F2F4D">
              <w:rPr>
                <w:color w:val="000000" w:themeColor="text1"/>
              </w:rPr>
              <w:t xml:space="preserve">ension costs are not clear as to whether they are operating a defined contribution scheme or not. </w:t>
            </w:r>
          </w:p>
        </w:tc>
        <w:tc>
          <w:tcPr>
            <w:tcW w:w="1635" w:type="dxa"/>
            <w:vAlign w:val="bottom"/>
          </w:tcPr>
          <w:p w14:paraId="6B6461FC" w14:textId="77777777" w:rsidR="007E3E45" w:rsidRPr="0071518E" w:rsidRDefault="007E3E45" w:rsidP="00B51B11">
            <w:pPr>
              <w:spacing w:after="120"/>
              <w:rPr>
                <w:rFonts w:cstheme="minorHAnsi"/>
                <w:color w:val="000000"/>
              </w:rPr>
            </w:pPr>
            <w:r w:rsidRPr="0071518E">
              <w:rPr>
                <w:rFonts w:cstheme="minorHAnsi"/>
                <w:color w:val="000000"/>
              </w:rPr>
              <w:t>17.21; 17.22; 17.23</w:t>
            </w:r>
          </w:p>
        </w:tc>
        <w:tc>
          <w:tcPr>
            <w:tcW w:w="1523" w:type="dxa"/>
            <w:vAlign w:val="bottom"/>
          </w:tcPr>
          <w:p w14:paraId="117C7FA0"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70614791" w14:textId="77777777" w:rsidTr="6E4BEBA0">
        <w:tc>
          <w:tcPr>
            <w:tcW w:w="5858" w:type="dxa"/>
            <w:vAlign w:val="bottom"/>
          </w:tcPr>
          <w:p w14:paraId="4B79E501" w14:textId="77777777" w:rsidR="007E3E45" w:rsidRPr="0071518E" w:rsidRDefault="007E3E45" w:rsidP="007E3E45">
            <w:pPr>
              <w:spacing w:after="120"/>
              <w:rPr>
                <w:rFonts w:cstheme="minorHAnsi"/>
                <w:color w:val="000000"/>
              </w:rPr>
            </w:pPr>
            <w:r w:rsidRPr="0071518E">
              <w:rPr>
                <w:rFonts w:cstheme="minorHAnsi"/>
                <w:color w:val="000000"/>
              </w:rPr>
              <w:t>Comparative figures have not been provided for the summary of assets and liabilities of each category of fund of the charity</w:t>
            </w:r>
          </w:p>
        </w:tc>
        <w:tc>
          <w:tcPr>
            <w:tcW w:w="1635" w:type="dxa"/>
            <w:vAlign w:val="bottom"/>
          </w:tcPr>
          <w:p w14:paraId="5872293A" w14:textId="77777777" w:rsidR="007E3E45" w:rsidRPr="0071518E" w:rsidRDefault="007E3E45" w:rsidP="00B51B11">
            <w:pPr>
              <w:spacing w:after="120"/>
              <w:rPr>
                <w:rFonts w:cstheme="minorHAnsi"/>
                <w:color w:val="000000"/>
              </w:rPr>
            </w:pPr>
            <w:r w:rsidRPr="0071518E">
              <w:rPr>
                <w:rFonts w:cstheme="minorHAnsi"/>
                <w:color w:val="000000"/>
              </w:rPr>
              <w:t>2.28&amp;2.29</w:t>
            </w:r>
          </w:p>
        </w:tc>
        <w:tc>
          <w:tcPr>
            <w:tcW w:w="1523" w:type="dxa"/>
            <w:vAlign w:val="bottom"/>
          </w:tcPr>
          <w:p w14:paraId="250C5F71"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7AD02D82" w14:textId="77777777" w:rsidTr="6E4BEBA0">
        <w:tc>
          <w:tcPr>
            <w:tcW w:w="5858" w:type="dxa"/>
            <w:vAlign w:val="bottom"/>
          </w:tcPr>
          <w:p w14:paraId="1BD55DAE" w14:textId="77777777" w:rsidR="007E3E45" w:rsidRPr="0071518E" w:rsidRDefault="007E3E45" w:rsidP="007E3E45">
            <w:pPr>
              <w:spacing w:after="120"/>
              <w:rPr>
                <w:rFonts w:cstheme="minorHAnsi"/>
                <w:color w:val="000000"/>
              </w:rPr>
            </w:pPr>
            <w:r w:rsidRPr="0071518E">
              <w:rPr>
                <w:rFonts w:cstheme="minorHAnsi"/>
                <w:color w:val="000000"/>
              </w:rPr>
              <w:lastRenderedPageBreak/>
              <w:t>Comparative year movement in funds is not disclosed</w:t>
            </w:r>
          </w:p>
        </w:tc>
        <w:tc>
          <w:tcPr>
            <w:tcW w:w="1635" w:type="dxa"/>
            <w:vAlign w:val="bottom"/>
          </w:tcPr>
          <w:p w14:paraId="56E8E5DD" w14:textId="77777777" w:rsidR="007E3E45" w:rsidRPr="0071518E" w:rsidRDefault="007E3E45" w:rsidP="00B51B11">
            <w:pPr>
              <w:spacing w:after="120"/>
              <w:rPr>
                <w:rFonts w:cstheme="minorHAnsi"/>
                <w:color w:val="000000"/>
              </w:rPr>
            </w:pPr>
            <w:r w:rsidRPr="0071518E">
              <w:rPr>
                <w:rFonts w:cstheme="minorHAnsi"/>
                <w:color w:val="000000"/>
              </w:rPr>
              <w:t>2.28,2.29</w:t>
            </w:r>
          </w:p>
        </w:tc>
        <w:tc>
          <w:tcPr>
            <w:tcW w:w="1523" w:type="dxa"/>
            <w:vAlign w:val="bottom"/>
          </w:tcPr>
          <w:p w14:paraId="78039DEC"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104E41D8" w14:textId="77777777" w:rsidTr="6E4BEBA0">
        <w:tc>
          <w:tcPr>
            <w:tcW w:w="5858" w:type="dxa"/>
            <w:vAlign w:val="bottom"/>
          </w:tcPr>
          <w:p w14:paraId="291B1B59" w14:textId="77777777" w:rsidR="007E3E45" w:rsidRPr="0071518E" w:rsidRDefault="007E3E45" w:rsidP="007E3E45">
            <w:pPr>
              <w:spacing w:after="120"/>
              <w:rPr>
                <w:rFonts w:cstheme="minorHAnsi"/>
                <w:color w:val="000000"/>
              </w:rPr>
            </w:pPr>
            <w:r w:rsidRPr="0071518E">
              <w:rPr>
                <w:rFonts w:cstheme="minorHAnsi"/>
                <w:color w:val="000000"/>
              </w:rPr>
              <w:t>No accounting policy as to the nature of Other Income was disclosed</w:t>
            </w:r>
          </w:p>
        </w:tc>
        <w:tc>
          <w:tcPr>
            <w:tcW w:w="1635" w:type="dxa"/>
            <w:vAlign w:val="bottom"/>
          </w:tcPr>
          <w:p w14:paraId="48E73C2B" w14:textId="77777777" w:rsidR="007E3E45" w:rsidRPr="0071518E" w:rsidRDefault="007E3E45" w:rsidP="00B51B11">
            <w:pPr>
              <w:spacing w:after="120"/>
              <w:rPr>
                <w:rFonts w:cstheme="minorHAnsi"/>
                <w:color w:val="000000"/>
              </w:rPr>
            </w:pPr>
            <w:r w:rsidRPr="0071518E">
              <w:rPr>
                <w:rFonts w:cstheme="minorHAnsi"/>
                <w:color w:val="000000"/>
              </w:rPr>
              <w:t>4.39,4.42</w:t>
            </w:r>
          </w:p>
        </w:tc>
        <w:tc>
          <w:tcPr>
            <w:tcW w:w="1523" w:type="dxa"/>
            <w:vAlign w:val="bottom"/>
          </w:tcPr>
          <w:p w14:paraId="03E811B8"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7FC4CCBC" w14:textId="77777777" w:rsidTr="6E4BEBA0">
        <w:tc>
          <w:tcPr>
            <w:tcW w:w="5858" w:type="dxa"/>
            <w:vAlign w:val="bottom"/>
          </w:tcPr>
          <w:p w14:paraId="3636D9BA" w14:textId="77777777" w:rsidR="007E3E45" w:rsidRPr="0071518E" w:rsidRDefault="0071518E" w:rsidP="007E3E45">
            <w:pPr>
              <w:spacing w:after="120"/>
              <w:rPr>
                <w:rFonts w:cstheme="minorHAnsi"/>
                <w:color w:val="000000"/>
              </w:rPr>
            </w:pPr>
            <w:r>
              <w:rPr>
                <w:rFonts w:cstheme="minorHAnsi"/>
                <w:color w:val="000000"/>
              </w:rPr>
              <w:t>G</w:t>
            </w:r>
            <w:r w:rsidR="007E3E45" w:rsidRPr="0071518E">
              <w:rPr>
                <w:rFonts w:cstheme="minorHAnsi"/>
                <w:color w:val="000000"/>
              </w:rPr>
              <w:t xml:space="preserve">oods &amp; services for donation, details surrounding how the organisation account for donated goods and services are not specified, there is just a statement that says that there is no policy in place due to the size of the activity in this regard </w:t>
            </w:r>
          </w:p>
        </w:tc>
        <w:tc>
          <w:tcPr>
            <w:tcW w:w="1635" w:type="dxa"/>
            <w:vAlign w:val="bottom"/>
          </w:tcPr>
          <w:p w14:paraId="7544B0A5" w14:textId="77777777" w:rsidR="007E3E45" w:rsidRPr="0071518E" w:rsidRDefault="007E3E45" w:rsidP="00B51B11">
            <w:pPr>
              <w:spacing w:after="120"/>
              <w:rPr>
                <w:rFonts w:cstheme="minorHAnsi"/>
                <w:color w:val="000000"/>
              </w:rPr>
            </w:pPr>
            <w:r w:rsidRPr="0071518E">
              <w:rPr>
                <w:rFonts w:cstheme="minorHAnsi"/>
                <w:color w:val="000000"/>
              </w:rPr>
              <w:t>6.4-6.24</w:t>
            </w:r>
          </w:p>
        </w:tc>
        <w:tc>
          <w:tcPr>
            <w:tcW w:w="1523" w:type="dxa"/>
            <w:vAlign w:val="bottom"/>
          </w:tcPr>
          <w:p w14:paraId="02A4511B"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5044AB8A" w14:textId="77777777" w:rsidTr="6E4BEBA0">
        <w:tc>
          <w:tcPr>
            <w:tcW w:w="5858" w:type="dxa"/>
            <w:vAlign w:val="bottom"/>
          </w:tcPr>
          <w:p w14:paraId="01630106" w14:textId="3761B103" w:rsidR="007E3E45" w:rsidRPr="0071518E" w:rsidRDefault="007E3E45" w:rsidP="099F2F4D">
            <w:pPr>
              <w:spacing w:after="120"/>
              <w:rPr>
                <w:color w:val="000000"/>
              </w:rPr>
            </w:pPr>
            <w:r w:rsidRPr="099F2F4D">
              <w:rPr>
                <w:color w:val="000000" w:themeColor="text1"/>
              </w:rPr>
              <w:t xml:space="preserve">There </w:t>
            </w:r>
            <w:r w:rsidR="2FE36EC2" w:rsidRPr="099F2F4D">
              <w:rPr>
                <w:color w:val="000000" w:themeColor="text1"/>
              </w:rPr>
              <w:t>are</w:t>
            </w:r>
            <w:r w:rsidRPr="099F2F4D">
              <w:rPr>
                <w:color w:val="000000" w:themeColor="text1"/>
              </w:rPr>
              <w:t xml:space="preserve"> no details of the average number of full-time and part-time staff for the reporting </w:t>
            </w:r>
            <w:r w:rsidR="0BEF2CC0" w:rsidRPr="099F2F4D">
              <w:rPr>
                <w:color w:val="000000" w:themeColor="text1"/>
              </w:rPr>
              <w:t>period and</w:t>
            </w:r>
            <w:r w:rsidRPr="099F2F4D">
              <w:rPr>
                <w:color w:val="000000" w:themeColor="text1"/>
              </w:rPr>
              <w:t xml:space="preserve"> further analysis of staffing according to the number of staff engaged </w:t>
            </w:r>
            <w:proofErr w:type="gramStart"/>
            <w:r w:rsidRPr="099F2F4D">
              <w:rPr>
                <w:color w:val="000000" w:themeColor="text1"/>
              </w:rPr>
              <w:t>in particular activities</w:t>
            </w:r>
            <w:proofErr w:type="gramEnd"/>
            <w:r w:rsidRPr="099F2F4D">
              <w:rPr>
                <w:color w:val="000000" w:themeColor="text1"/>
              </w:rPr>
              <w:t xml:space="preserve"> </w:t>
            </w:r>
          </w:p>
        </w:tc>
        <w:tc>
          <w:tcPr>
            <w:tcW w:w="1635" w:type="dxa"/>
            <w:vAlign w:val="bottom"/>
          </w:tcPr>
          <w:p w14:paraId="31D46C57" w14:textId="77777777" w:rsidR="007E3E45" w:rsidRPr="0071518E" w:rsidRDefault="007E3E45" w:rsidP="00B51B11">
            <w:pPr>
              <w:spacing w:after="120"/>
              <w:rPr>
                <w:rFonts w:cstheme="minorHAnsi"/>
                <w:color w:val="000000"/>
              </w:rPr>
            </w:pPr>
            <w:r w:rsidRPr="0071518E">
              <w:rPr>
                <w:rFonts w:cstheme="minorHAnsi"/>
                <w:color w:val="000000"/>
              </w:rPr>
              <w:t>7.9.29</w:t>
            </w:r>
          </w:p>
        </w:tc>
        <w:tc>
          <w:tcPr>
            <w:tcW w:w="1523" w:type="dxa"/>
            <w:vAlign w:val="bottom"/>
          </w:tcPr>
          <w:p w14:paraId="395DB684"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5C062D9E" w14:textId="77777777" w:rsidTr="6E4BEBA0">
        <w:tc>
          <w:tcPr>
            <w:tcW w:w="5858" w:type="dxa"/>
            <w:vAlign w:val="bottom"/>
          </w:tcPr>
          <w:p w14:paraId="0ACB746C" w14:textId="17B2086D" w:rsidR="007E3E45" w:rsidRPr="0071518E" w:rsidRDefault="007E3E45" w:rsidP="099F2F4D">
            <w:pPr>
              <w:spacing w:after="120"/>
              <w:rPr>
                <w:color w:val="000000"/>
              </w:rPr>
            </w:pPr>
            <w:r w:rsidRPr="099F2F4D">
              <w:rPr>
                <w:color w:val="000000" w:themeColor="text1"/>
              </w:rPr>
              <w:t xml:space="preserve">There is only one support costs in Note 4. No other categories of expenditure </w:t>
            </w:r>
            <w:r w:rsidR="7E6A9D69" w:rsidRPr="099F2F4D">
              <w:rPr>
                <w:color w:val="000000" w:themeColor="text1"/>
              </w:rPr>
              <w:t>were</w:t>
            </w:r>
            <w:r w:rsidRPr="099F2F4D">
              <w:rPr>
                <w:color w:val="000000" w:themeColor="text1"/>
              </w:rPr>
              <w:t xml:space="preserve"> disclosed that are within support costs and governance costs is not separately identified</w:t>
            </w:r>
          </w:p>
        </w:tc>
        <w:tc>
          <w:tcPr>
            <w:tcW w:w="1635" w:type="dxa"/>
            <w:vAlign w:val="bottom"/>
          </w:tcPr>
          <w:p w14:paraId="406F4C02" w14:textId="77777777" w:rsidR="007E3E45" w:rsidRPr="0071518E" w:rsidRDefault="007E3E45" w:rsidP="00B51B11">
            <w:pPr>
              <w:spacing w:after="120"/>
              <w:rPr>
                <w:rFonts w:cstheme="minorHAnsi"/>
                <w:color w:val="000000"/>
              </w:rPr>
            </w:pPr>
            <w:r w:rsidRPr="0071518E">
              <w:rPr>
                <w:rFonts w:cstheme="minorHAnsi"/>
                <w:color w:val="000000"/>
              </w:rPr>
              <w:t>8.13,8.14</w:t>
            </w:r>
          </w:p>
        </w:tc>
        <w:tc>
          <w:tcPr>
            <w:tcW w:w="1523" w:type="dxa"/>
            <w:vAlign w:val="bottom"/>
          </w:tcPr>
          <w:p w14:paraId="04E24F75"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2457458B" w14:textId="77777777" w:rsidTr="6E4BEBA0">
        <w:tc>
          <w:tcPr>
            <w:tcW w:w="5858" w:type="dxa"/>
            <w:vAlign w:val="bottom"/>
          </w:tcPr>
          <w:p w14:paraId="33AE53CB" w14:textId="3A8345F0" w:rsidR="007E3E45" w:rsidRPr="0071518E" w:rsidRDefault="007E3E45" w:rsidP="099F2F4D">
            <w:pPr>
              <w:spacing w:after="120"/>
              <w:rPr>
                <w:color w:val="000000"/>
              </w:rPr>
            </w:pPr>
            <w:r w:rsidRPr="099F2F4D">
              <w:rPr>
                <w:color w:val="000000" w:themeColor="text1"/>
              </w:rPr>
              <w:t xml:space="preserve">There </w:t>
            </w:r>
            <w:r w:rsidR="1650559E" w:rsidRPr="099F2F4D">
              <w:rPr>
                <w:color w:val="000000" w:themeColor="text1"/>
              </w:rPr>
              <w:t>are</w:t>
            </w:r>
            <w:r w:rsidRPr="099F2F4D">
              <w:rPr>
                <w:color w:val="000000" w:themeColor="text1"/>
              </w:rPr>
              <w:t xml:space="preserve"> no details of the average number of full-time and part-time staff for the reporting </w:t>
            </w:r>
            <w:r w:rsidR="777B5ACC" w:rsidRPr="099F2F4D">
              <w:rPr>
                <w:color w:val="000000" w:themeColor="text1"/>
              </w:rPr>
              <w:t>period and</w:t>
            </w:r>
            <w:r w:rsidRPr="099F2F4D">
              <w:rPr>
                <w:color w:val="000000" w:themeColor="text1"/>
              </w:rPr>
              <w:t xml:space="preserve"> further analysis of staffing according to the number of staff engaged </w:t>
            </w:r>
            <w:proofErr w:type="gramStart"/>
            <w:r w:rsidRPr="099F2F4D">
              <w:rPr>
                <w:color w:val="000000" w:themeColor="text1"/>
              </w:rPr>
              <w:t>in particular activities</w:t>
            </w:r>
            <w:proofErr w:type="gramEnd"/>
          </w:p>
        </w:tc>
        <w:tc>
          <w:tcPr>
            <w:tcW w:w="1635" w:type="dxa"/>
            <w:vAlign w:val="bottom"/>
          </w:tcPr>
          <w:p w14:paraId="0D8FD893" w14:textId="77777777" w:rsidR="007E3E45" w:rsidRPr="0071518E" w:rsidRDefault="007E3E45" w:rsidP="00B51B11">
            <w:pPr>
              <w:spacing w:after="120"/>
              <w:rPr>
                <w:rFonts w:cstheme="minorHAnsi"/>
                <w:color w:val="000000"/>
              </w:rPr>
            </w:pPr>
            <w:r w:rsidRPr="0071518E">
              <w:rPr>
                <w:rFonts w:cstheme="minorHAnsi"/>
                <w:color w:val="000000"/>
              </w:rPr>
              <w:t>8.9.29</w:t>
            </w:r>
          </w:p>
        </w:tc>
        <w:tc>
          <w:tcPr>
            <w:tcW w:w="1523" w:type="dxa"/>
            <w:vAlign w:val="bottom"/>
          </w:tcPr>
          <w:p w14:paraId="3B1FFE29"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6E91F72D" w14:textId="77777777" w:rsidTr="6E4BEBA0">
        <w:tc>
          <w:tcPr>
            <w:tcW w:w="5858" w:type="dxa"/>
            <w:vAlign w:val="bottom"/>
          </w:tcPr>
          <w:p w14:paraId="47AC18B8" w14:textId="543E18C6" w:rsidR="007E3E45" w:rsidRPr="0071518E" w:rsidRDefault="007E3E45" w:rsidP="099F2F4D">
            <w:pPr>
              <w:spacing w:after="120"/>
              <w:rPr>
                <w:color w:val="000000"/>
              </w:rPr>
            </w:pPr>
            <w:r w:rsidRPr="099F2F4D">
              <w:rPr>
                <w:color w:val="000000" w:themeColor="text1"/>
              </w:rPr>
              <w:t xml:space="preserve"> Key Management Remuneration was </w:t>
            </w:r>
            <w:r w:rsidR="289824D1" w:rsidRPr="099F2F4D">
              <w:rPr>
                <w:color w:val="000000" w:themeColor="text1"/>
              </w:rPr>
              <w:t>disclosed;</w:t>
            </w:r>
            <w:r w:rsidRPr="099F2F4D">
              <w:rPr>
                <w:color w:val="000000" w:themeColor="text1"/>
              </w:rPr>
              <w:t xml:space="preserve"> however, actual remuneration of the CEO is not disclosed.</w:t>
            </w:r>
          </w:p>
        </w:tc>
        <w:tc>
          <w:tcPr>
            <w:tcW w:w="1635" w:type="dxa"/>
            <w:vAlign w:val="bottom"/>
          </w:tcPr>
          <w:p w14:paraId="559A3CAD" w14:textId="77777777" w:rsidR="007E3E45" w:rsidRPr="0071518E" w:rsidRDefault="0071518E" w:rsidP="00B51B11">
            <w:pPr>
              <w:spacing w:after="120"/>
              <w:rPr>
                <w:rFonts w:cstheme="minorHAnsi"/>
                <w:color w:val="000000"/>
              </w:rPr>
            </w:pPr>
            <w:r w:rsidRPr="0071518E">
              <w:rPr>
                <w:rFonts w:cstheme="minorHAnsi"/>
                <w:color w:val="000000"/>
              </w:rPr>
              <w:t>9.4</w:t>
            </w:r>
          </w:p>
        </w:tc>
        <w:tc>
          <w:tcPr>
            <w:tcW w:w="1523" w:type="dxa"/>
            <w:vAlign w:val="bottom"/>
          </w:tcPr>
          <w:p w14:paraId="3ED8436E"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64AFDBA9" w14:textId="77777777" w:rsidTr="6E4BEBA0">
        <w:tc>
          <w:tcPr>
            <w:tcW w:w="5858" w:type="dxa"/>
          </w:tcPr>
          <w:p w14:paraId="66791B24" w14:textId="10F6DF67" w:rsidR="007E3E45" w:rsidRPr="0071518E" w:rsidRDefault="007E3E45" w:rsidP="099F2F4D">
            <w:pPr>
              <w:spacing w:after="120"/>
              <w:rPr>
                <w:color w:val="000000"/>
              </w:rPr>
            </w:pPr>
            <w:r w:rsidRPr="099F2F4D">
              <w:rPr>
                <w:color w:val="000000" w:themeColor="text1"/>
              </w:rPr>
              <w:t xml:space="preserve">There is no breakdown of Debtors? All Prepayments? Charities SORP – at a minimum the debtors note </w:t>
            </w:r>
            <w:r w:rsidR="0071518E" w:rsidRPr="099F2F4D">
              <w:rPr>
                <w:color w:val="000000" w:themeColor="text1"/>
              </w:rPr>
              <w:t>must</w:t>
            </w:r>
            <w:r w:rsidRPr="099F2F4D">
              <w:rPr>
                <w:color w:val="000000" w:themeColor="text1"/>
              </w:rPr>
              <w:t xml:space="preserve"> be split </w:t>
            </w:r>
            <w:r w:rsidR="397FFEB7" w:rsidRPr="099F2F4D">
              <w:rPr>
                <w:color w:val="000000" w:themeColor="text1"/>
              </w:rPr>
              <w:t>between</w:t>
            </w:r>
            <w:r w:rsidRPr="099F2F4D">
              <w:rPr>
                <w:color w:val="000000" w:themeColor="text1"/>
              </w:rPr>
              <w:t xml:space="preserve"> trade debtors, amounts owed by group undertakings, amounts owed by associated undertakings; prepayments and accrued income; and other debtors</w:t>
            </w:r>
            <w:r w:rsidR="1C5A9EAC" w:rsidRPr="099F2F4D">
              <w:rPr>
                <w:color w:val="000000" w:themeColor="text1"/>
              </w:rPr>
              <w:t xml:space="preserve">. </w:t>
            </w:r>
            <w:r w:rsidRPr="099F2F4D">
              <w:rPr>
                <w:color w:val="000000" w:themeColor="text1"/>
              </w:rPr>
              <w:t xml:space="preserve"> Company law requires any type of taxation debtor to be disclosed separately</w:t>
            </w:r>
          </w:p>
        </w:tc>
        <w:tc>
          <w:tcPr>
            <w:tcW w:w="1635" w:type="dxa"/>
            <w:vAlign w:val="bottom"/>
          </w:tcPr>
          <w:p w14:paraId="7A077ABB" w14:textId="77777777" w:rsidR="007E3E45" w:rsidRPr="0071518E" w:rsidRDefault="007E3E45" w:rsidP="00B51B11">
            <w:pPr>
              <w:spacing w:after="120"/>
              <w:rPr>
                <w:rFonts w:cstheme="minorHAnsi"/>
                <w:color w:val="000000"/>
              </w:rPr>
            </w:pPr>
            <w:r w:rsidRPr="0071518E">
              <w:rPr>
                <w:rFonts w:cstheme="minorHAnsi"/>
                <w:color w:val="000000"/>
              </w:rPr>
              <w:t>S19.68</w:t>
            </w:r>
          </w:p>
        </w:tc>
        <w:tc>
          <w:tcPr>
            <w:tcW w:w="1523" w:type="dxa"/>
            <w:vAlign w:val="bottom"/>
          </w:tcPr>
          <w:p w14:paraId="41AFDD4B"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2022B525" w14:textId="77777777" w:rsidTr="6E4BEBA0">
        <w:tc>
          <w:tcPr>
            <w:tcW w:w="5858" w:type="dxa"/>
            <w:vAlign w:val="bottom"/>
          </w:tcPr>
          <w:p w14:paraId="22CC87CA" w14:textId="77777777" w:rsidR="007E3E45" w:rsidRPr="0071518E" w:rsidRDefault="007E3E45" w:rsidP="007E3E45">
            <w:pPr>
              <w:spacing w:after="120"/>
              <w:rPr>
                <w:rFonts w:cstheme="minorHAnsi"/>
                <w:color w:val="000000"/>
              </w:rPr>
            </w:pPr>
            <w:r w:rsidRPr="0071518E">
              <w:rPr>
                <w:rFonts w:cstheme="minorHAnsi"/>
                <w:color w:val="000000"/>
              </w:rPr>
              <w:t xml:space="preserve">Restricted funds - Note 17 Funds of the Charity S2.28 of Charities SORP requires the movement by fund to be shown including providing information on the purpose of the funds </w:t>
            </w:r>
          </w:p>
        </w:tc>
        <w:tc>
          <w:tcPr>
            <w:tcW w:w="1635" w:type="dxa"/>
            <w:vAlign w:val="bottom"/>
          </w:tcPr>
          <w:p w14:paraId="29F0EE20" w14:textId="77777777" w:rsidR="007E3E45" w:rsidRPr="0071518E" w:rsidRDefault="007E3E45" w:rsidP="00B51B11">
            <w:pPr>
              <w:spacing w:after="120"/>
              <w:rPr>
                <w:rFonts w:cstheme="minorHAnsi"/>
                <w:color w:val="000000"/>
              </w:rPr>
            </w:pPr>
            <w:r w:rsidRPr="0071518E">
              <w:rPr>
                <w:rFonts w:cstheme="minorHAnsi"/>
                <w:color w:val="000000"/>
              </w:rPr>
              <w:t>S2.28</w:t>
            </w:r>
          </w:p>
        </w:tc>
        <w:tc>
          <w:tcPr>
            <w:tcW w:w="1523" w:type="dxa"/>
            <w:vAlign w:val="bottom"/>
          </w:tcPr>
          <w:p w14:paraId="2488E303" w14:textId="77777777" w:rsidR="007E3E45" w:rsidRPr="0071518E" w:rsidRDefault="0071518E" w:rsidP="00B51B11">
            <w:pPr>
              <w:spacing w:after="120"/>
              <w:rPr>
                <w:rFonts w:cstheme="minorHAnsi"/>
                <w:color w:val="000000"/>
              </w:rPr>
            </w:pPr>
            <w:r>
              <w:rPr>
                <w:rFonts w:cstheme="minorHAnsi"/>
                <w:color w:val="000000"/>
              </w:rPr>
              <w:t>Must</w:t>
            </w:r>
          </w:p>
        </w:tc>
      </w:tr>
      <w:tr w:rsidR="007E3E45" w:rsidRPr="0071518E" w14:paraId="4A77F360" w14:textId="77777777" w:rsidTr="6E4BEBA0">
        <w:tc>
          <w:tcPr>
            <w:tcW w:w="5858" w:type="dxa"/>
            <w:vAlign w:val="bottom"/>
          </w:tcPr>
          <w:p w14:paraId="184A8ADC" w14:textId="77777777" w:rsidR="007E3E45" w:rsidRPr="0071518E" w:rsidRDefault="007E3E45" w:rsidP="007E3E45">
            <w:pPr>
              <w:spacing w:after="120"/>
              <w:rPr>
                <w:rFonts w:cstheme="minorHAnsi"/>
                <w:color w:val="000000"/>
              </w:rPr>
            </w:pPr>
            <w:r w:rsidRPr="0071518E">
              <w:rPr>
                <w:rFonts w:cstheme="minorHAnsi"/>
                <w:color w:val="000000"/>
              </w:rPr>
              <w:t xml:space="preserve">The Statement of Financial Activities uses the terminology "Incoming resources" and "Resources expended" </w:t>
            </w:r>
          </w:p>
        </w:tc>
        <w:tc>
          <w:tcPr>
            <w:tcW w:w="1635" w:type="dxa"/>
            <w:vAlign w:val="bottom"/>
          </w:tcPr>
          <w:p w14:paraId="6C104CBA" w14:textId="77777777" w:rsidR="007E3E45" w:rsidRPr="0071518E" w:rsidRDefault="007E3E45" w:rsidP="00B51B11">
            <w:pPr>
              <w:spacing w:after="120"/>
              <w:rPr>
                <w:rFonts w:cstheme="minorHAnsi"/>
                <w:color w:val="000000"/>
              </w:rPr>
            </w:pPr>
            <w:r w:rsidRPr="0071518E">
              <w:rPr>
                <w:rFonts w:cstheme="minorHAnsi"/>
                <w:color w:val="000000"/>
              </w:rPr>
              <w:t>This is old version of SORP4.1</w:t>
            </w:r>
          </w:p>
        </w:tc>
        <w:tc>
          <w:tcPr>
            <w:tcW w:w="1523" w:type="dxa"/>
            <w:vAlign w:val="bottom"/>
          </w:tcPr>
          <w:p w14:paraId="296E4419"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62073B4F" w14:textId="77777777" w:rsidTr="6E4BEBA0">
        <w:tc>
          <w:tcPr>
            <w:tcW w:w="5858" w:type="dxa"/>
            <w:vAlign w:val="bottom"/>
          </w:tcPr>
          <w:p w14:paraId="4B452587" w14:textId="77777777" w:rsidR="0071518E" w:rsidRDefault="007E3E45" w:rsidP="007E3E45">
            <w:pPr>
              <w:spacing w:after="120"/>
              <w:rPr>
                <w:rFonts w:cstheme="minorHAnsi"/>
                <w:color w:val="000000"/>
              </w:rPr>
            </w:pPr>
            <w:r w:rsidRPr="0071518E">
              <w:rPr>
                <w:rFonts w:cstheme="minorHAnsi"/>
                <w:color w:val="000000"/>
              </w:rPr>
              <w:t xml:space="preserve">There is a transfer taking money from the Restricted Reserves into Unrestricted with no explanation noted. </w:t>
            </w:r>
          </w:p>
          <w:p w14:paraId="24E6DC33" w14:textId="77777777" w:rsidR="007E3E45" w:rsidRPr="0071518E" w:rsidRDefault="007E3E45" w:rsidP="007E3E45">
            <w:pPr>
              <w:spacing w:after="120"/>
              <w:rPr>
                <w:rFonts w:cstheme="minorHAnsi"/>
                <w:color w:val="000000"/>
              </w:rPr>
            </w:pPr>
            <w:r w:rsidRPr="0071518E">
              <w:rPr>
                <w:rFonts w:cstheme="minorHAnsi"/>
                <w:color w:val="000000"/>
              </w:rPr>
              <w:t xml:space="preserve">Previously given the amounts relates to income for a specific purpose, we would have expected there to be an explanation </w:t>
            </w:r>
          </w:p>
        </w:tc>
        <w:tc>
          <w:tcPr>
            <w:tcW w:w="1635" w:type="dxa"/>
            <w:vAlign w:val="bottom"/>
          </w:tcPr>
          <w:p w14:paraId="0A70029C" w14:textId="77777777" w:rsidR="007E3E45" w:rsidRPr="0071518E" w:rsidRDefault="007E3E45" w:rsidP="00B51B11">
            <w:pPr>
              <w:spacing w:after="120"/>
              <w:rPr>
                <w:rFonts w:cstheme="minorHAnsi"/>
                <w:color w:val="000000"/>
              </w:rPr>
            </w:pPr>
            <w:r w:rsidRPr="0071518E">
              <w:rPr>
                <w:rFonts w:cstheme="minorHAnsi"/>
                <w:color w:val="000000"/>
              </w:rPr>
              <w:t xml:space="preserve">S.4.60 of SORP </w:t>
            </w:r>
            <w:r w:rsidRPr="0071518E">
              <w:rPr>
                <w:rFonts w:cstheme="minorHAnsi"/>
                <w:color w:val="000000"/>
              </w:rPr>
              <w:br/>
              <w:t xml:space="preserve"> </w:t>
            </w:r>
            <w:proofErr w:type="spellStart"/>
            <w:r w:rsidRPr="0071518E">
              <w:rPr>
                <w:rFonts w:cstheme="minorHAnsi"/>
                <w:color w:val="000000"/>
              </w:rPr>
              <w:t>SORP</w:t>
            </w:r>
            <w:proofErr w:type="spellEnd"/>
            <w:r w:rsidRPr="0071518E">
              <w:rPr>
                <w:rFonts w:cstheme="minorHAnsi"/>
                <w:color w:val="000000"/>
              </w:rPr>
              <w:t xml:space="preserve"> 2.28-30</w:t>
            </w:r>
          </w:p>
        </w:tc>
        <w:tc>
          <w:tcPr>
            <w:tcW w:w="1523" w:type="dxa"/>
            <w:vAlign w:val="bottom"/>
          </w:tcPr>
          <w:p w14:paraId="2980B79A"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3D96967A" w14:textId="77777777" w:rsidTr="6E4BEBA0">
        <w:trPr>
          <w:trHeight w:val="1875"/>
        </w:trPr>
        <w:tc>
          <w:tcPr>
            <w:tcW w:w="5858" w:type="dxa"/>
            <w:vAlign w:val="bottom"/>
          </w:tcPr>
          <w:p w14:paraId="7362E9E2" w14:textId="5844CFE9" w:rsidR="007E3E45" w:rsidRPr="0071518E" w:rsidRDefault="007E3E45" w:rsidP="099F2F4D">
            <w:pPr>
              <w:spacing w:after="120"/>
              <w:jc w:val="both"/>
              <w:rPr>
                <w:color w:val="000000" w:themeColor="text1"/>
              </w:rPr>
            </w:pPr>
            <w:r w:rsidRPr="099F2F4D">
              <w:rPr>
                <w:color w:val="000000" w:themeColor="text1"/>
              </w:rPr>
              <w:t>Under the general information section, there is no mention of the company number, charity number or the fact the company does not have any share capital</w:t>
            </w:r>
          </w:p>
          <w:p w14:paraId="3ED5C4AD" w14:textId="38934DC3" w:rsidR="007E3E45" w:rsidRPr="0071518E" w:rsidRDefault="007E3E45" w:rsidP="099F2F4D">
            <w:pPr>
              <w:spacing w:after="120"/>
              <w:jc w:val="both"/>
              <w:rPr>
                <w:color w:val="000000" w:themeColor="text1"/>
              </w:rPr>
            </w:pPr>
          </w:p>
          <w:p w14:paraId="40967E72" w14:textId="47D37946" w:rsidR="007E3E45" w:rsidRPr="0071518E" w:rsidRDefault="007E3E45" w:rsidP="099F2F4D">
            <w:pPr>
              <w:spacing w:after="120"/>
              <w:jc w:val="both"/>
              <w:rPr>
                <w:color w:val="000000" w:themeColor="text1"/>
              </w:rPr>
            </w:pPr>
          </w:p>
          <w:p w14:paraId="4782746C" w14:textId="247045C9" w:rsidR="007E3E45" w:rsidRPr="0071518E" w:rsidRDefault="007E3E45" w:rsidP="099F2F4D">
            <w:pPr>
              <w:spacing w:after="120"/>
              <w:jc w:val="both"/>
              <w:rPr>
                <w:color w:val="000000"/>
              </w:rPr>
            </w:pPr>
          </w:p>
        </w:tc>
        <w:tc>
          <w:tcPr>
            <w:tcW w:w="1635" w:type="dxa"/>
            <w:vAlign w:val="bottom"/>
          </w:tcPr>
          <w:p w14:paraId="438EB403" w14:textId="405CBFA8" w:rsidR="007E3E45" w:rsidRPr="0071518E" w:rsidRDefault="007E3E45" w:rsidP="099F2F4D">
            <w:pPr>
              <w:spacing w:after="120"/>
              <w:rPr>
                <w:color w:val="000000"/>
              </w:rPr>
            </w:pPr>
            <w:r w:rsidRPr="099F2F4D">
              <w:rPr>
                <w:color w:val="000000" w:themeColor="text1"/>
              </w:rPr>
              <w:t xml:space="preserve">Mentioned in the Organisational Structure but </w:t>
            </w:r>
            <w:r w:rsidR="2122FDA4" w:rsidRPr="099F2F4D">
              <w:rPr>
                <w:color w:val="000000" w:themeColor="text1"/>
              </w:rPr>
              <w:t>m</w:t>
            </w:r>
            <w:r w:rsidR="0071518E" w:rsidRPr="099F2F4D">
              <w:rPr>
                <w:color w:val="000000" w:themeColor="text1"/>
              </w:rPr>
              <w:t>ay</w:t>
            </w:r>
            <w:r w:rsidRPr="099F2F4D">
              <w:rPr>
                <w:color w:val="000000" w:themeColor="text1"/>
              </w:rPr>
              <w:t xml:space="preserve"> be noted in the general information</w:t>
            </w:r>
          </w:p>
        </w:tc>
        <w:tc>
          <w:tcPr>
            <w:tcW w:w="1523" w:type="dxa"/>
            <w:vAlign w:val="bottom"/>
          </w:tcPr>
          <w:p w14:paraId="0D6C170C"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4A3FEE56" w14:textId="77777777" w:rsidTr="6E4BEBA0">
        <w:trPr>
          <w:trHeight w:val="1860"/>
        </w:trPr>
        <w:tc>
          <w:tcPr>
            <w:tcW w:w="5858" w:type="dxa"/>
            <w:vAlign w:val="bottom"/>
          </w:tcPr>
          <w:p w14:paraId="7912F32F" w14:textId="6C0612FB" w:rsidR="007E3E45" w:rsidRPr="0071518E" w:rsidRDefault="4D3B3C1D" w:rsidP="099F2F4D">
            <w:pPr>
              <w:spacing w:after="120"/>
              <w:rPr>
                <w:color w:val="000000" w:themeColor="text1"/>
              </w:rPr>
            </w:pPr>
            <w:r w:rsidRPr="099F2F4D">
              <w:rPr>
                <w:color w:val="000000" w:themeColor="text1"/>
              </w:rPr>
              <w:lastRenderedPageBreak/>
              <w:t xml:space="preserve">There is no mention in the notes to the financial statements of the members' liability </w:t>
            </w:r>
            <w:r w:rsidR="005C7310">
              <w:rPr>
                <w:color w:val="000000" w:themeColor="text1"/>
              </w:rPr>
              <w:t>s</w:t>
            </w:r>
            <w:r w:rsidRPr="099F2F4D">
              <w:rPr>
                <w:color w:val="000000" w:themeColor="text1"/>
              </w:rPr>
              <w:t>hould the company be wound up</w:t>
            </w:r>
          </w:p>
          <w:p w14:paraId="7732282F" w14:textId="120E1DB7" w:rsidR="007E3E45" w:rsidRPr="0071518E" w:rsidRDefault="007E3E45" w:rsidP="099F2F4D">
            <w:pPr>
              <w:spacing w:after="120"/>
              <w:rPr>
                <w:color w:val="000000" w:themeColor="text1"/>
              </w:rPr>
            </w:pPr>
          </w:p>
          <w:p w14:paraId="318AFF54" w14:textId="34B67705" w:rsidR="007E3E45" w:rsidRPr="0071518E" w:rsidRDefault="007E3E45" w:rsidP="099F2F4D">
            <w:pPr>
              <w:spacing w:after="120"/>
              <w:rPr>
                <w:color w:val="000000" w:themeColor="text1"/>
              </w:rPr>
            </w:pPr>
          </w:p>
          <w:p w14:paraId="0BB990C0" w14:textId="07A5927F" w:rsidR="007E3E45" w:rsidRPr="0071518E" w:rsidRDefault="007E3E45" w:rsidP="099F2F4D">
            <w:pPr>
              <w:spacing w:after="120"/>
              <w:rPr>
                <w:color w:val="000000"/>
              </w:rPr>
            </w:pPr>
          </w:p>
        </w:tc>
        <w:tc>
          <w:tcPr>
            <w:tcW w:w="1635" w:type="dxa"/>
            <w:vAlign w:val="bottom"/>
          </w:tcPr>
          <w:p w14:paraId="15E4A5F4" w14:textId="37BB5C20" w:rsidR="007E3E45" w:rsidRPr="0071518E" w:rsidRDefault="007E3E45" w:rsidP="099F2F4D">
            <w:pPr>
              <w:spacing w:after="120"/>
              <w:rPr>
                <w:color w:val="000000"/>
              </w:rPr>
            </w:pPr>
            <w:r w:rsidRPr="099F2F4D">
              <w:rPr>
                <w:color w:val="000000" w:themeColor="text1"/>
              </w:rPr>
              <w:t xml:space="preserve">Mentioned in the Organisational Structure but </w:t>
            </w:r>
            <w:r w:rsidR="554DD04F" w:rsidRPr="099F2F4D">
              <w:rPr>
                <w:color w:val="000000" w:themeColor="text1"/>
              </w:rPr>
              <w:t>m</w:t>
            </w:r>
            <w:r w:rsidR="0071518E" w:rsidRPr="099F2F4D">
              <w:rPr>
                <w:color w:val="000000" w:themeColor="text1"/>
              </w:rPr>
              <w:t>ay</w:t>
            </w:r>
            <w:r w:rsidRPr="099F2F4D">
              <w:rPr>
                <w:color w:val="000000" w:themeColor="text1"/>
              </w:rPr>
              <w:t xml:space="preserve"> be noted in the general information</w:t>
            </w:r>
          </w:p>
        </w:tc>
        <w:tc>
          <w:tcPr>
            <w:tcW w:w="1523" w:type="dxa"/>
            <w:vAlign w:val="bottom"/>
          </w:tcPr>
          <w:p w14:paraId="3DD6F8E0" w14:textId="77777777" w:rsidR="007E3E45" w:rsidRPr="0071518E" w:rsidRDefault="0071518E" w:rsidP="00B51B11">
            <w:pPr>
              <w:spacing w:after="120"/>
              <w:rPr>
                <w:rFonts w:cstheme="minorHAnsi"/>
                <w:color w:val="000000"/>
              </w:rPr>
            </w:pPr>
            <w:r>
              <w:rPr>
                <w:rFonts w:cstheme="minorHAnsi"/>
                <w:color w:val="000000"/>
              </w:rPr>
              <w:t>May</w:t>
            </w:r>
          </w:p>
        </w:tc>
      </w:tr>
      <w:tr w:rsidR="007E3E45" w:rsidRPr="0071518E" w14:paraId="286D1A68" w14:textId="77777777" w:rsidTr="6E4BEBA0">
        <w:tc>
          <w:tcPr>
            <w:tcW w:w="5858" w:type="dxa"/>
            <w:vAlign w:val="bottom"/>
          </w:tcPr>
          <w:p w14:paraId="2D76E095" w14:textId="77777777" w:rsidR="007E3E45" w:rsidRPr="0071518E" w:rsidRDefault="007E3E45" w:rsidP="007E3E45">
            <w:pPr>
              <w:spacing w:after="120"/>
              <w:rPr>
                <w:rFonts w:cstheme="minorHAnsi"/>
                <w:color w:val="000000"/>
              </w:rPr>
            </w:pPr>
            <w:r w:rsidRPr="0071518E">
              <w:rPr>
                <w:rFonts w:cstheme="minorHAnsi"/>
                <w:color w:val="000000"/>
              </w:rPr>
              <w:t xml:space="preserve">Within the Unrestricted Funds - General note, the 'expenditure and transfers' are combined into one column. The remaining reserves split these out (note 20) </w:t>
            </w:r>
          </w:p>
        </w:tc>
        <w:tc>
          <w:tcPr>
            <w:tcW w:w="1635" w:type="dxa"/>
            <w:vAlign w:val="bottom"/>
          </w:tcPr>
          <w:p w14:paraId="2AE8A1D7" w14:textId="77777777" w:rsidR="007E3E45" w:rsidRPr="0071518E" w:rsidRDefault="007E3E45" w:rsidP="00B51B11">
            <w:pPr>
              <w:spacing w:after="120"/>
              <w:rPr>
                <w:rFonts w:cstheme="minorHAnsi"/>
                <w:color w:val="000000"/>
              </w:rPr>
            </w:pPr>
            <w:r w:rsidRPr="0071518E">
              <w:rPr>
                <w:rFonts w:cstheme="minorHAnsi"/>
                <w:color w:val="000000"/>
              </w:rPr>
              <w:t>SORP 4.57-58</w:t>
            </w:r>
          </w:p>
        </w:tc>
        <w:tc>
          <w:tcPr>
            <w:tcW w:w="1523" w:type="dxa"/>
            <w:vAlign w:val="bottom"/>
          </w:tcPr>
          <w:p w14:paraId="284DB9AD" w14:textId="77777777" w:rsidR="007E3E45" w:rsidRPr="0071518E" w:rsidRDefault="0071518E" w:rsidP="00B51B11">
            <w:pPr>
              <w:spacing w:after="120"/>
              <w:rPr>
                <w:rFonts w:cstheme="minorHAnsi"/>
                <w:color w:val="000000"/>
              </w:rPr>
            </w:pPr>
            <w:r>
              <w:rPr>
                <w:rFonts w:cstheme="minorHAnsi"/>
                <w:color w:val="000000"/>
              </w:rPr>
              <w:t>Should</w:t>
            </w:r>
          </w:p>
        </w:tc>
      </w:tr>
      <w:tr w:rsidR="007E3E45" w:rsidRPr="0071518E" w14:paraId="45B73A36" w14:textId="77777777" w:rsidTr="6E4BEBA0">
        <w:tc>
          <w:tcPr>
            <w:tcW w:w="5858" w:type="dxa"/>
            <w:vAlign w:val="bottom"/>
          </w:tcPr>
          <w:p w14:paraId="7AC5ADB8" w14:textId="68CB1B96" w:rsidR="007E3E45" w:rsidRPr="0071518E" w:rsidRDefault="007E3E45" w:rsidP="099F2F4D">
            <w:pPr>
              <w:spacing w:after="120"/>
              <w:rPr>
                <w:color w:val="000000"/>
              </w:rPr>
            </w:pPr>
            <w:r w:rsidRPr="099F2F4D">
              <w:rPr>
                <w:color w:val="000000" w:themeColor="text1"/>
              </w:rPr>
              <w:t xml:space="preserve">Classification of defined contribution plan (either restricted or unrestricted funds) is not disclosed </w:t>
            </w:r>
            <w:r w:rsidR="5C60D9BC" w:rsidRPr="099F2F4D">
              <w:rPr>
                <w:color w:val="000000" w:themeColor="text1"/>
              </w:rPr>
              <w:t>in notes</w:t>
            </w:r>
            <w:r w:rsidRPr="099F2F4D">
              <w:rPr>
                <w:color w:val="000000" w:themeColor="text1"/>
              </w:rPr>
              <w:t xml:space="preserve"> 21</w:t>
            </w:r>
          </w:p>
        </w:tc>
        <w:tc>
          <w:tcPr>
            <w:tcW w:w="1635" w:type="dxa"/>
            <w:vAlign w:val="bottom"/>
          </w:tcPr>
          <w:p w14:paraId="01FA58EA" w14:textId="77777777" w:rsidR="007E3E45" w:rsidRPr="0071518E" w:rsidRDefault="007E3E45" w:rsidP="00B51B11">
            <w:pPr>
              <w:spacing w:after="120"/>
              <w:rPr>
                <w:rFonts w:cstheme="minorHAnsi"/>
                <w:color w:val="000000"/>
              </w:rPr>
            </w:pPr>
            <w:r w:rsidRPr="0071518E">
              <w:rPr>
                <w:rFonts w:cstheme="minorHAnsi"/>
                <w:color w:val="000000"/>
              </w:rPr>
              <w:t>17.21</w:t>
            </w:r>
          </w:p>
        </w:tc>
        <w:tc>
          <w:tcPr>
            <w:tcW w:w="1523" w:type="dxa"/>
            <w:vAlign w:val="bottom"/>
          </w:tcPr>
          <w:p w14:paraId="1BD68B5D" w14:textId="77777777" w:rsidR="007E3E45" w:rsidRPr="0071518E" w:rsidRDefault="0071518E" w:rsidP="00B51B11">
            <w:pPr>
              <w:spacing w:after="120"/>
              <w:rPr>
                <w:rFonts w:cstheme="minorHAnsi"/>
                <w:color w:val="000000"/>
              </w:rPr>
            </w:pPr>
            <w:r>
              <w:rPr>
                <w:rFonts w:cstheme="minorHAnsi"/>
                <w:color w:val="000000"/>
              </w:rPr>
              <w:t>Must</w:t>
            </w:r>
          </w:p>
        </w:tc>
      </w:tr>
    </w:tbl>
    <w:p w14:paraId="02EB378F" w14:textId="3A22BD6F" w:rsidR="007E3E45" w:rsidRDefault="007E3E45">
      <w:pPr>
        <w:rPr>
          <w:rFonts w:cstheme="minorHAnsi"/>
        </w:rPr>
      </w:pPr>
    </w:p>
    <w:p w14:paraId="61CA2397" w14:textId="2661EE7A" w:rsidR="00E109C9" w:rsidRDefault="00E109C9">
      <w:pPr>
        <w:rPr>
          <w:rFonts w:cstheme="minorHAnsi"/>
        </w:rPr>
      </w:pPr>
      <w:r>
        <w:rPr>
          <w:rFonts w:cstheme="minorHAnsi"/>
        </w:rPr>
        <w:t xml:space="preserve">Carmichael wishes to acknowledge and thank </w:t>
      </w:r>
      <w:r w:rsidR="00610F30">
        <w:rPr>
          <w:rFonts w:cstheme="minorHAnsi"/>
        </w:rPr>
        <w:t>our accounting f</w:t>
      </w:r>
      <w:r w:rsidR="0091087E">
        <w:rPr>
          <w:rFonts w:cstheme="minorHAnsi"/>
        </w:rPr>
        <w:t>i</w:t>
      </w:r>
      <w:r w:rsidR="00610F30">
        <w:rPr>
          <w:rFonts w:cstheme="minorHAnsi"/>
        </w:rPr>
        <w:t xml:space="preserve">rms on the Technical Assessment panel for their fantastic work and support for the Good Governance Awards. </w:t>
      </w:r>
    </w:p>
    <w:p w14:paraId="461120D1" w14:textId="1901350C" w:rsidR="00610F30" w:rsidRPr="00610F30" w:rsidRDefault="00610F30" w:rsidP="00610F30">
      <w:pPr>
        <w:pStyle w:val="ListParagraph"/>
        <w:numPr>
          <w:ilvl w:val="0"/>
          <w:numId w:val="4"/>
        </w:numPr>
        <w:rPr>
          <w:rFonts w:cstheme="minorHAnsi"/>
        </w:rPr>
      </w:pPr>
      <w:proofErr w:type="spellStart"/>
      <w:r w:rsidRPr="00610F30">
        <w:rPr>
          <w:rFonts w:cstheme="minorHAnsi"/>
        </w:rPr>
        <w:t>Azets</w:t>
      </w:r>
      <w:proofErr w:type="spellEnd"/>
    </w:p>
    <w:p w14:paraId="5E5CBD50" w14:textId="31099AF7" w:rsidR="00610F30" w:rsidRPr="00610F30" w:rsidRDefault="00610F30" w:rsidP="00610F30">
      <w:pPr>
        <w:pStyle w:val="ListParagraph"/>
        <w:numPr>
          <w:ilvl w:val="0"/>
          <w:numId w:val="4"/>
        </w:numPr>
        <w:rPr>
          <w:rFonts w:cstheme="minorHAnsi"/>
        </w:rPr>
      </w:pPr>
      <w:r w:rsidRPr="00610F30">
        <w:rPr>
          <w:rFonts w:cstheme="minorHAnsi"/>
        </w:rPr>
        <w:t>BDO</w:t>
      </w:r>
    </w:p>
    <w:p w14:paraId="588AC3CE" w14:textId="7BFFC51E" w:rsidR="00610F30" w:rsidRPr="00610F30" w:rsidRDefault="00610F30" w:rsidP="00610F30">
      <w:pPr>
        <w:pStyle w:val="ListParagraph"/>
        <w:numPr>
          <w:ilvl w:val="0"/>
          <w:numId w:val="4"/>
        </w:numPr>
        <w:rPr>
          <w:rFonts w:cstheme="minorHAnsi"/>
        </w:rPr>
      </w:pPr>
      <w:proofErr w:type="spellStart"/>
      <w:r w:rsidRPr="00610F30">
        <w:rPr>
          <w:rFonts w:cstheme="minorHAnsi"/>
        </w:rPr>
        <w:t>Forvis</w:t>
      </w:r>
      <w:proofErr w:type="spellEnd"/>
      <w:r w:rsidRPr="00610F30">
        <w:rPr>
          <w:rFonts w:cstheme="minorHAnsi"/>
        </w:rPr>
        <w:t xml:space="preserve"> Mazars</w:t>
      </w:r>
    </w:p>
    <w:p w14:paraId="1E3A1473" w14:textId="6C73EA46" w:rsidR="00610F30" w:rsidRPr="00610F30" w:rsidRDefault="00610F30" w:rsidP="00610F30">
      <w:pPr>
        <w:pStyle w:val="ListParagraph"/>
        <w:numPr>
          <w:ilvl w:val="0"/>
          <w:numId w:val="4"/>
        </w:numPr>
        <w:rPr>
          <w:rFonts w:cstheme="minorHAnsi"/>
        </w:rPr>
      </w:pPr>
      <w:r w:rsidRPr="00610F30">
        <w:rPr>
          <w:rFonts w:cstheme="minorHAnsi"/>
        </w:rPr>
        <w:t>ND Audit &amp; Advisory</w:t>
      </w:r>
    </w:p>
    <w:p w14:paraId="35EF7BF6" w14:textId="52F85EF3" w:rsidR="00610F30" w:rsidRPr="00610F30" w:rsidRDefault="00610F30" w:rsidP="00610F30">
      <w:pPr>
        <w:pStyle w:val="ListParagraph"/>
        <w:numPr>
          <w:ilvl w:val="0"/>
          <w:numId w:val="4"/>
        </w:numPr>
        <w:rPr>
          <w:rFonts w:cstheme="minorHAnsi"/>
        </w:rPr>
      </w:pPr>
      <w:r w:rsidRPr="00610F30">
        <w:rPr>
          <w:rFonts w:cstheme="minorHAnsi"/>
        </w:rPr>
        <w:t>PwC</w:t>
      </w:r>
    </w:p>
    <w:p w14:paraId="1D5F63D3" w14:textId="3AC2EDD3" w:rsidR="00610F30" w:rsidRPr="00610F30" w:rsidRDefault="00610F30" w:rsidP="00610F30">
      <w:pPr>
        <w:pStyle w:val="ListParagraph"/>
        <w:numPr>
          <w:ilvl w:val="0"/>
          <w:numId w:val="4"/>
        </w:numPr>
        <w:rPr>
          <w:rFonts w:cstheme="minorHAnsi"/>
        </w:rPr>
      </w:pPr>
      <w:r w:rsidRPr="00610F30">
        <w:rPr>
          <w:rFonts w:cstheme="minorHAnsi"/>
        </w:rPr>
        <w:t>RBK</w:t>
      </w:r>
    </w:p>
    <w:p w14:paraId="632A7AC9" w14:textId="60B78CCE" w:rsidR="00610F30" w:rsidRPr="00610F30" w:rsidRDefault="00610F30" w:rsidP="00610F30">
      <w:pPr>
        <w:pStyle w:val="ListParagraph"/>
        <w:numPr>
          <w:ilvl w:val="0"/>
          <w:numId w:val="4"/>
        </w:numPr>
        <w:rPr>
          <w:rFonts w:cstheme="minorHAnsi"/>
        </w:rPr>
      </w:pPr>
      <w:r w:rsidRPr="00610F30">
        <w:rPr>
          <w:rFonts w:cstheme="minorHAnsi"/>
        </w:rPr>
        <w:t>UHY FDW</w:t>
      </w:r>
    </w:p>
    <w:p w14:paraId="7CA1A994" w14:textId="6391F1BE" w:rsidR="00610F30" w:rsidRPr="00610F30" w:rsidRDefault="00610F30" w:rsidP="00610F30">
      <w:pPr>
        <w:pStyle w:val="ListParagraph"/>
        <w:numPr>
          <w:ilvl w:val="0"/>
          <w:numId w:val="4"/>
        </w:numPr>
        <w:rPr>
          <w:rFonts w:cstheme="minorHAnsi"/>
        </w:rPr>
      </w:pPr>
      <w:r w:rsidRPr="00610F30">
        <w:rPr>
          <w:rFonts w:cstheme="minorHAnsi"/>
        </w:rPr>
        <w:t xml:space="preserve">Walsh O’Brien </w:t>
      </w:r>
      <w:proofErr w:type="spellStart"/>
      <w:r w:rsidRPr="00610F30">
        <w:rPr>
          <w:rFonts w:cstheme="minorHAnsi"/>
        </w:rPr>
        <w:t>Harnett</w:t>
      </w:r>
      <w:proofErr w:type="spellEnd"/>
    </w:p>
    <w:sectPr w:rsidR="00610F30" w:rsidRPr="00610F3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DC20" w14:textId="77777777" w:rsidR="000D3F3B" w:rsidRDefault="000D3F3B" w:rsidP="00B51B11">
      <w:pPr>
        <w:spacing w:after="0" w:line="240" w:lineRule="auto"/>
      </w:pPr>
      <w:r>
        <w:separator/>
      </w:r>
    </w:p>
  </w:endnote>
  <w:endnote w:type="continuationSeparator" w:id="0">
    <w:p w14:paraId="7484EA33" w14:textId="77777777" w:rsidR="000D3F3B" w:rsidRDefault="000D3F3B" w:rsidP="00B5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7777777" w:rsidR="00B51B11" w:rsidRDefault="00B51B11" w:rsidP="00B51B11">
    <w:pPr>
      <w:pStyle w:val="Footer"/>
      <w:jc w:val="right"/>
    </w:pPr>
    <w:r>
      <w:rPr>
        <w:noProof/>
        <w:lang w:eastAsia="en-IE"/>
      </w:rPr>
      <w:drawing>
        <wp:inline distT="0" distB="0" distL="0" distR="0" wp14:anchorId="5118CF77" wp14:editId="07777777">
          <wp:extent cx="1342142" cy="1418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gline.png"/>
                  <pic:cNvPicPr/>
                </pic:nvPicPr>
                <pic:blipFill>
                  <a:blip r:embed="rId1">
                    <a:extLst>
                      <a:ext uri="{28A0092B-C50C-407E-A947-70E740481C1C}">
                        <a14:useLocalDpi xmlns:a14="http://schemas.microsoft.com/office/drawing/2010/main" val="0"/>
                      </a:ext>
                    </a:extLst>
                  </a:blip>
                  <a:stretch>
                    <a:fillRect/>
                  </a:stretch>
                </pic:blipFill>
                <pic:spPr>
                  <a:xfrm>
                    <a:off x="0" y="0"/>
                    <a:ext cx="1445624" cy="1527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4D28" w14:textId="77777777" w:rsidR="000D3F3B" w:rsidRDefault="000D3F3B" w:rsidP="00B51B11">
      <w:pPr>
        <w:spacing w:after="0" w:line="240" w:lineRule="auto"/>
      </w:pPr>
      <w:r>
        <w:separator/>
      </w:r>
    </w:p>
  </w:footnote>
  <w:footnote w:type="continuationSeparator" w:id="0">
    <w:p w14:paraId="65508D7A" w14:textId="77777777" w:rsidR="000D3F3B" w:rsidRDefault="000D3F3B" w:rsidP="00B51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B51B11" w:rsidRDefault="00B51B11" w:rsidP="00B51B11">
    <w:pPr>
      <w:pStyle w:val="Header"/>
      <w:spacing w:after="120"/>
    </w:pPr>
    <w:r>
      <w:rPr>
        <w:noProof/>
        <w:lang w:eastAsia="en-IE"/>
      </w:rPr>
      <w:drawing>
        <wp:inline distT="0" distB="0" distL="0" distR="0" wp14:anchorId="16AFEC2E" wp14:editId="07777777">
          <wp:extent cx="1213793" cy="42546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michael new logo Yellow.png"/>
                  <pic:cNvPicPr/>
                </pic:nvPicPr>
                <pic:blipFill>
                  <a:blip r:embed="rId1">
                    <a:extLst>
                      <a:ext uri="{28A0092B-C50C-407E-A947-70E740481C1C}">
                        <a14:useLocalDpi xmlns:a14="http://schemas.microsoft.com/office/drawing/2010/main" val="0"/>
                      </a:ext>
                    </a:extLst>
                  </a:blip>
                  <a:stretch>
                    <a:fillRect/>
                  </a:stretch>
                </pic:blipFill>
                <pic:spPr>
                  <a:xfrm>
                    <a:off x="0" y="0"/>
                    <a:ext cx="1266473" cy="4439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7B0E"/>
    <w:multiLevelType w:val="hybridMultilevel"/>
    <w:tmpl w:val="59F69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8160F1D"/>
    <w:multiLevelType w:val="hybridMultilevel"/>
    <w:tmpl w:val="E37A7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0F357D9"/>
    <w:multiLevelType w:val="hybridMultilevel"/>
    <w:tmpl w:val="C4CA1F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7647C25"/>
    <w:multiLevelType w:val="hybridMultilevel"/>
    <w:tmpl w:val="C080A7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38869812">
    <w:abstractNumId w:val="1"/>
  </w:num>
  <w:num w:numId="2" w16cid:durableId="1238517383">
    <w:abstractNumId w:val="3"/>
  </w:num>
  <w:num w:numId="3" w16cid:durableId="1214997784">
    <w:abstractNumId w:val="0"/>
  </w:num>
  <w:num w:numId="4" w16cid:durableId="1824006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45"/>
    <w:rsid w:val="00040D2B"/>
    <w:rsid w:val="000D3F3B"/>
    <w:rsid w:val="001735DD"/>
    <w:rsid w:val="001C1B3A"/>
    <w:rsid w:val="0025460A"/>
    <w:rsid w:val="002B54D0"/>
    <w:rsid w:val="004E128A"/>
    <w:rsid w:val="005C7310"/>
    <w:rsid w:val="005D1AB8"/>
    <w:rsid w:val="00600774"/>
    <w:rsid w:val="00610F30"/>
    <w:rsid w:val="00625603"/>
    <w:rsid w:val="0071518E"/>
    <w:rsid w:val="007E3E45"/>
    <w:rsid w:val="007F2270"/>
    <w:rsid w:val="008156B1"/>
    <w:rsid w:val="0091087E"/>
    <w:rsid w:val="009704BB"/>
    <w:rsid w:val="009A0D9D"/>
    <w:rsid w:val="00A92A6D"/>
    <w:rsid w:val="00AB10D5"/>
    <w:rsid w:val="00B51B11"/>
    <w:rsid w:val="00B81FD2"/>
    <w:rsid w:val="00C87369"/>
    <w:rsid w:val="00DE5D63"/>
    <w:rsid w:val="00DF2E95"/>
    <w:rsid w:val="00E109C9"/>
    <w:rsid w:val="00F43098"/>
    <w:rsid w:val="06ED2713"/>
    <w:rsid w:val="07AC6E0B"/>
    <w:rsid w:val="07C44DC8"/>
    <w:rsid w:val="07CB56CB"/>
    <w:rsid w:val="082A3EF5"/>
    <w:rsid w:val="0894C475"/>
    <w:rsid w:val="099F2F4D"/>
    <w:rsid w:val="0A5F81BD"/>
    <w:rsid w:val="0AB0916B"/>
    <w:rsid w:val="0BB59EEE"/>
    <w:rsid w:val="0BEF2CC0"/>
    <w:rsid w:val="0C91BD31"/>
    <w:rsid w:val="0CEF8C5A"/>
    <w:rsid w:val="0F721BF3"/>
    <w:rsid w:val="1053EA8B"/>
    <w:rsid w:val="13B065F1"/>
    <w:rsid w:val="15CB6EE9"/>
    <w:rsid w:val="1650559E"/>
    <w:rsid w:val="17035380"/>
    <w:rsid w:val="173FFCD7"/>
    <w:rsid w:val="1793FD8A"/>
    <w:rsid w:val="180A83E2"/>
    <w:rsid w:val="18E8AA79"/>
    <w:rsid w:val="18F51975"/>
    <w:rsid w:val="1B2C9F6F"/>
    <w:rsid w:val="1C5A9EAC"/>
    <w:rsid w:val="1CBE64BC"/>
    <w:rsid w:val="210A6DB0"/>
    <w:rsid w:val="2122FDA4"/>
    <w:rsid w:val="2296465C"/>
    <w:rsid w:val="26FC3481"/>
    <w:rsid w:val="27126C05"/>
    <w:rsid w:val="28254CD7"/>
    <w:rsid w:val="289824D1"/>
    <w:rsid w:val="292DED4A"/>
    <w:rsid w:val="2D5CFF50"/>
    <w:rsid w:val="2F65057B"/>
    <w:rsid w:val="2FE36EC2"/>
    <w:rsid w:val="308BC5E0"/>
    <w:rsid w:val="31758AE7"/>
    <w:rsid w:val="33229330"/>
    <w:rsid w:val="385B3858"/>
    <w:rsid w:val="397FFEB7"/>
    <w:rsid w:val="3F576067"/>
    <w:rsid w:val="448AC5E4"/>
    <w:rsid w:val="44AC21B4"/>
    <w:rsid w:val="47482DB5"/>
    <w:rsid w:val="4984B6C2"/>
    <w:rsid w:val="4ADC2A37"/>
    <w:rsid w:val="4AE66596"/>
    <w:rsid w:val="4C3A8602"/>
    <w:rsid w:val="4D1AD06B"/>
    <w:rsid w:val="4D3B3C1D"/>
    <w:rsid w:val="4F84D3FB"/>
    <w:rsid w:val="50727DD2"/>
    <w:rsid w:val="513D5D77"/>
    <w:rsid w:val="5145C573"/>
    <w:rsid w:val="51950200"/>
    <w:rsid w:val="52240FFB"/>
    <w:rsid w:val="541606FA"/>
    <w:rsid w:val="554DD04F"/>
    <w:rsid w:val="562F6CE9"/>
    <w:rsid w:val="5C60D9BC"/>
    <w:rsid w:val="5D2CD685"/>
    <w:rsid w:val="5D3F074D"/>
    <w:rsid w:val="5D9F192E"/>
    <w:rsid w:val="5E2341B2"/>
    <w:rsid w:val="62EB6A1B"/>
    <w:rsid w:val="674868A4"/>
    <w:rsid w:val="69651413"/>
    <w:rsid w:val="6A7BA8FB"/>
    <w:rsid w:val="6C63E886"/>
    <w:rsid w:val="6E4BEBA0"/>
    <w:rsid w:val="6F7A9999"/>
    <w:rsid w:val="6F9A9DE9"/>
    <w:rsid w:val="70980D57"/>
    <w:rsid w:val="7347E2D7"/>
    <w:rsid w:val="7459204C"/>
    <w:rsid w:val="753DD1E5"/>
    <w:rsid w:val="7572D686"/>
    <w:rsid w:val="777B5ACC"/>
    <w:rsid w:val="77838B49"/>
    <w:rsid w:val="794EEFC7"/>
    <w:rsid w:val="797CD66E"/>
    <w:rsid w:val="7B025EEA"/>
    <w:rsid w:val="7CDB1DFB"/>
    <w:rsid w:val="7DBF0DA0"/>
    <w:rsid w:val="7E6A9D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0AA5"/>
  <w15:chartTrackingRefBased/>
  <w15:docId w15:val="{CBAD2896-2376-42EB-BF8D-C36AA04A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B11"/>
  </w:style>
  <w:style w:type="paragraph" w:styleId="Footer">
    <w:name w:val="footer"/>
    <w:basedOn w:val="Normal"/>
    <w:link w:val="FooterChar"/>
    <w:uiPriority w:val="99"/>
    <w:unhideWhenUsed/>
    <w:rsid w:val="00B51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B11"/>
  </w:style>
  <w:style w:type="paragraph" w:styleId="ListParagraph">
    <w:name w:val="List Paragraph"/>
    <w:basedOn w:val="Normal"/>
    <w:uiPriority w:val="34"/>
    <w:qFormat/>
    <w:rsid w:val="0071518E"/>
    <w:pPr>
      <w:ind w:left="720"/>
      <w:contextualSpacing/>
    </w:pPr>
  </w:style>
  <w:style w:type="paragraph" w:styleId="Revision">
    <w:name w:val="Revision"/>
    <w:hidden/>
    <w:uiPriority w:val="99"/>
    <w:semiHidden/>
    <w:rsid w:val="00A92A6D"/>
    <w:pPr>
      <w:spacing w:after="0" w:line="240" w:lineRule="auto"/>
    </w:pPr>
  </w:style>
  <w:style w:type="character" w:styleId="CommentReference">
    <w:name w:val="annotation reference"/>
    <w:basedOn w:val="DefaultParagraphFont"/>
    <w:uiPriority w:val="99"/>
    <w:semiHidden/>
    <w:unhideWhenUsed/>
    <w:rsid w:val="00A92A6D"/>
    <w:rPr>
      <w:sz w:val="16"/>
      <w:szCs w:val="16"/>
    </w:rPr>
  </w:style>
  <w:style w:type="paragraph" w:styleId="CommentText">
    <w:name w:val="annotation text"/>
    <w:basedOn w:val="Normal"/>
    <w:link w:val="CommentTextChar"/>
    <w:uiPriority w:val="99"/>
    <w:unhideWhenUsed/>
    <w:rsid w:val="00A92A6D"/>
    <w:pPr>
      <w:spacing w:line="240" w:lineRule="auto"/>
    </w:pPr>
    <w:rPr>
      <w:sz w:val="20"/>
      <w:szCs w:val="20"/>
    </w:rPr>
  </w:style>
  <w:style w:type="character" w:customStyle="1" w:styleId="CommentTextChar">
    <w:name w:val="Comment Text Char"/>
    <w:basedOn w:val="DefaultParagraphFont"/>
    <w:link w:val="CommentText"/>
    <w:uiPriority w:val="99"/>
    <w:rsid w:val="00A92A6D"/>
    <w:rPr>
      <w:sz w:val="20"/>
      <w:szCs w:val="20"/>
    </w:rPr>
  </w:style>
  <w:style w:type="paragraph" w:styleId="CommentSubject">
    <w:name w:val="annotation subject"/>
    <w:basedOn w:val="CommentText"/>
    <w:next w:val="CommentText"/>
    <w:link w:val="CommentSubjectChar"/>
    <w:uiPriority w:val="99"/>
    <w:semiHidden/>
    <w:unhideWhenUsed/>
    <w:rsid w:val="00A92A6D"/>
    <w:rPr>
      <w:b/>
      <w:bCs/>
    </w:rPr>
  </w:style>
  <w:style w:type="character" w:customStyle="1" w:styleId="CommentSubjectChar">
    <w:name w:val="Comment Subject Char"/>
    <w:basedOn w:val="CommentTextChar"/>
    <w:link w:val="CommentSubject"/>
    <w:uiPriority w:val="99"/>
    <w:semiHidden/>
    <w:rsid w:val="00A92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9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1360f-43b2-4b84-9d0d-9b9b1556b231" xsi:nil="true"/>
    <lcf76f155ced4ddcb4097134ff3c332f xmlns="8222a5fb-ac83-468e-b76e-e218f5e1db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18" ma:contentTypeDescription="Create a new document." ma:contentTypeScope="" ma:versionID="041f24d058cf8858fcc84d9a0669982b">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b64fdeb3a7d1af63715ca7c94b04fd9d"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cbbbf0e-1e70-49f4-a019-c6a0ac1b6638}" ma:internalName="TaxCatchAll" ma:showField="CatchAllData" ma:web="2391360f-43b2-4b84-9d0d-9b9b1556b2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67d16f-d600-43b4-980d-7ef579b09d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1B97F-99A6-402B-AE7F-FEC35982E12C}">
  <ds:schemaRefs>
    <ds:schemaRef ds:uri="2391360f-43b2-4b84-9d0d-9b9b1556b231"/>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222a5fb-ac83-468e-b76e-e218f5e1dbd9"/>
    <ds:schemaRef ds:uri="31ec4d18-f38d-462f-83e1-c4e65bfa54f4"/>
  </ds:schemaRefs>
</ds:datastoreItem>
</file>

<file path=customXml/itemProps2.xml><?xml version="1.0" encoding="utf-8"?>
<ds:datastoreItem xmlns:ds="http://schemas.openxmlformats.org/officeDocument/2006/customXml" ds:itemID="{DA70350A-8C37-4CFE-9803-D20F297C8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4d18-f38d-462f-83e1-c4e65bfa54f4"/>
    <ds:schemaRef ds:uri="2391360f-43b2-4b84-9d0d-9b9b1556b231"/>
    <ds:schemaRef ds:uri="8222a5fb-ac83-468e-b76e-e218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82E70-50F0-463C-BE61-ABDDD5B2A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Diarmaid</dc:creator>
  <cp:keywords/>
  <dc:description/>
  <cp:lastModifiedBy>Communications</cp:lastModifiedBy>
  <cp:revision>2</cp:revision>
  <dcterms:created xsi:type="dcterms:W3CDTF">2025-02-26T12:15:00Z</dcterms:created>
  <dcterms:modified xsi:type="dcterms:W3CDTF">2025-02-26T12:15:00Z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y fmtid="{D5CDD505-2E9C-101B-9397-08002B2CF9AE}" pid="3" name="MediaServiceImageTags">
    <vt:lpwstr/>
  </property>
</Properties>
</file>